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0D231051">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项目名称：重庆环保投资集团有限公司渝东南环境治理分公司人事档案服务</w:t>
      </w:r>
    </w:p>
    <w:p w14:paraId="128754A2">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p>
    <w:p w14:paraId="4A262A3C">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37263902">
      <w:pPr>
        <w:rPr>
          <w:rFonts w:hint="eastAsia" w:ascii="宋体" w:hAnsi="宋体"/>
          <w:color w:val="auto"/>
          <w:kern w:val="0"/>
          <w:sz w:val="32"/>
          <w:szCs w:val="32"/>
          <w:highlight w:val="none"/>
          <w:u w:val="single"/>
        </w:rPr>
      </w:pPr>
    </w:p>
    <w:p w14:paraId="547DBCF4">
      <w:pPr>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536797277"/>
      <w:bookmarkStart w:id="1" w:name="_Toc13210649"/>
      <w:bookmarkStart w:id="2" w:name="_Toc536621766"/>
      <w:bookmarkStart w:id="3" w:name="_Toc509218549"/>
      <w:bookmarkStart w:id="4" w:name="_Toc536796736"/>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05</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70D34E6B">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p>
    <w:p w14:paraId="2895AC8D">
      <w:pPr>
        <w:rPr>
          <w:rFonts w:hint="eastAsia"/>
          <w:lang w:val="en-US" w:eastAsia="zh-CN"/>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- 21 -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2"/>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2"/>
        <w:spacing w:before="0" w:after="0" w:line="360" w:lineRule="auto"/>
        <w:jc w:val="center"/>
        <w:rPr>
          <w:rFonts w:hint="eastAsia" w:ascii="方正黑体_GBK" w:hAnsi="方正黑体_GBK" w:eastAsia="方正黑体_GBK" w:cs="方正黑体_GBK"/>
          <w:snapToGrid w:val="0"/>
          <w:color w:val="auto"/>
          <w:kern w:val="0"/>
          <w:highlight w:val="none"/>
        </w:rPr>
      </w:pPr>
      <w:bookmarkStart w:id="5" w:name="_Toc287607727"/>
      <w:bookmarkStart w:id="6" w:name="_Toc224103298"/>
      <w:bookmarkStart w:id="7" w:name="_Toc2724"/>
      <w:bookmarkStart w:id="8" w:name="_Toc509218691"/>
      <w:bookmarkStart w:id="9" w:name="_Toc287620666"/>
      <w:bookmarkStart w:id="10" w:name="_Toc57820541"/>
      <w:bookmarkStart w:id="11" w:name="_Toc430530415"/>
      <w:bookmarkStart w:id="12" w:name="_Toc19403"/>
      <w:bookmarkStart w:id="13" w:name="_Toc277082535"/>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2C56F90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sz w:val="28"/>
          <w:szCs w:val="28"/>
        </w:rPr>
        <w:t>重庆环保投资集团有限公司渝东南环境治理分公司</w:t>
      </w:r>
      <w:r>
        <w:rPr>
          <w:rFonts w:hint="eastAsia" w:ascii="方正仿宋_GBK" w:hAnsi="方正仿宋_GBK" w:eastAsia="方正仿宋_GBK" w:cs="方正仿宋_GBK"/>
          <w:kern w:val="2"/>
          <w:sz w:val="28"/>
          <w:szCs w:val="28"/>
          <w:lang w:val="en-US" w:eastAsia="zh-CN" w:bidi="ar-SA"/>
        </w:rPr>
        <w:t>人事档案服务</w:t>
      </w:r>
    </w:p>
    <w:p w14:paraId="5BFE0D0F">
      <w:pPr>
        <w:ind w:firstLine="503" w:firstLineChars="231"/>
        <w:rPr>
          <w:rFonts w:hint="eastAsia" w:ascii="Times New Roman" w:hAnsi="Times New Roman" w:eastAsia="方正仿宋_GBK" w:cs="Times New Roman"/>
          <w:color w:val="060607"/>
          <w:spacing w:val="4"/>
          <w:kern w:val="0"/>
          <w:szCs w:val="32"/>
          <w:shd w:val="clear" w:color="auto" w:fill="FFFFFF"/>
          <w:lang w:val="en-US" w:eastAsia="zh-CN"/>
        </w:rPr>
      </w:pPr>
    </w:p>
    <w:p w14:paraId="52BFBB88">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4" w:name="_Toc31597"/>
      <w:bookmarkStart w:id="15" w:name="_Toc8962"/>
      <w:bookmarkStart w:id="16" w:name="_Toc492300546"/>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方正仿宋_GBK" w:hAnsi="方正仿宋_GBK" w:eastAsia="方正仿宋_GBK" w:cs="方正仿宋_GBK"/>
          <w:snapToGrid w:val="0"/>
          <w:color w:val="auto"/>
          <w:kern w:val="0"/>
          <w:position w:val="-2"/>
          <w:sz w:val="21"/>
          <w:szCs w:val="21"/>
          <w:highlight w:val="none"/>
          <w:lang w:eastAsia="zh-CN"/>
        </w:rPr>
      </w:pPr>
      <w:r>
        <w:rPr>
          <w:rFonts w:hint="eastAsia" w:ascii="方正仿宋_GBK" w:hAnsi="方正仿宋_GBK" w:eastAsia="方正仿宋_GBK" w:cs="方正仿宋_GBK"/>
          <w:snapToGrid w:val="0"/>
          <w:color w:val="auto"/>
          <w:kern w:val="0"/>
          <w:sz w:val="21"/>
          <w:szCs w:val="21"/>
          <w:highlight w:val="none"/>
        </w:rPr>
        <w:t>本项目</w:t>
      </w:r>
      <w:r>
        <w:rPr>
          <w:rFonts w:hint="eastAsia" w:ascii="方正仿宋_GBK" w:hAnsi="方正仿宋_GBK" w:eastAsia="方正仿宋_GBK" w:cs="方正仿宋_GBK"/>
          <w:snapToGrid w:val="0"/>
          <w:color w:val="auto"/>
          <w:kern w:val="0"/>
          <w:sz w:val="21"/>
          <w:szCs w:val="21"/>
          <w:highlight w:val="none"/>
          <w:lang w:val="en-US" w:eastAsia="zh-CN"/>
        </w:rPr>
        <w:t>比选人</w:t>
      </w:r>
      <w:r>
        <w:rPr>
          <w:rFonts w:hint="eastAsia" w:ascii="方正仿宋_GBK" w:hAnsi="方正仿宋_GBK" w:eastAsia="方正仿宋_GBK" w:cs="方正仿宋_GBK"/>
          <w:snapToGrid w:val="0"/>
          <w:color w:val="auto"/>
          <w:kern w:val="0"/>
          <w:sz w:val="21"/>
          <w:szCs w:val="21"/>
          <w:highlight w:val="none"/>
        </w:rPr>
        <w:t>为</w:t>
      </w:r>
      <w:r>
        <w:rPr>
          <w:rFonts w:hint="eastAsia" w:ascii="方正仿宋_GBK" w:hAnsi="方正仿宋_GBK" w:eastAsia="方正仿宋_GBK" w:cs="方正仿宋_GBK"/>
          <w:snapToGrid w:val="0"/>
          <w:color w:val="auto"/>
          <w:kern w:val="0"/>
          <w:sz w:val="21"/>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 w:val="21"/>
          <w:szCs w:val="21"/>
          <w:highlight w:val="none"/>
        </w:rPr>
        <w:t>，</w:t>
      </w:r>
      <w:r>
        <w:rPr>
          <w:rFonts w:hint="eastAsia" w:ascii="方正仿宋_GBK" w:hAnsi="方正仿宋_GBK" w:eastAsia="方正仿宋_GBK" w:cs="方正仿宋_GBK"/>
          <w:snapToGrid w:val="0"/>
          <w:color w:val="auto"/>
          <w:kern w:val="0"/>
          <w:sz w:val="21"/>
          <w:szCs w:val="21"/>
          <w:highlight w:val="none"/>
          <w:lang w:val="en-US" w:eastAsia="zh-CN"/>
        </w:rPr>
        <w:t>项目</w:t>
      </w:r>
      <w:r>
        <w:rPr>
          <w:rFonts w:hint="eastAsia" w:ascii="方正仿宋_GBK" w:hAnsi="方正仿宋_GBK" w:eastAsia="方正仿宋_GBK" w:cs="方正仿宋_GBK"/>
          <w:snapToGrid w:val="0"/>
          <w:color w:val="auto"/>
          <w:kern w:val="0"/>
          <w:sz w:val="21"/>
          <w:szCs w:val="21"/>
          <w:highlight w:val="none"/>
        </w:rPr>
        <w:t>资金来自</w:t>
      </w:r>
      <w:r>
        <w:rPr>
          <w:rFonts w:hint="eastAsia" w:ascii="方正仿宋_GBK" w:hAnsi="方正仿宋_GBK" w:eastAsia="方正仿宋_GBK" w:cs="方正仿宋_GBK"/>
          <w:snapToGrid w:val="0"/>
          <w:color w:val="auto"/>
          <w:kern w:val="0"/>
          <w:sz w:val="21"/>
          <w:szCs w:val="21"/>
          <w:highlight w:val="none"/>
          <w:u w:val="single"/>
          <w:lang w:eastAsia="zh-CN"/>
        </w:rPr>
        <w:t>自筹</w:t>
      </w:r>
      <w:r>
        <w:rPr>
          <w:rFonts w:hint="eastAsia" w:ascii="方正仿宋_GBK" w:hAnsi="方正仿宋_GBK" w:eastAsia="方正仿宋_GBK" w:cs="方正仿宋_GBK"/>
          <w:snapToGrid w:val="0"/>
          <w:color w:val="auto"/>
          <w:kern w:val="0"/>
          <w:sz w:val="21"/>
          <w:szCs w:val="21"/>
          <w:highlight w:val="none"/>
        </w:rPr>
        <w:t>，项目出资比例为</w:t>
      </w:r>
      <w:r>
        <w:rPr>
          <w:rFonts w:hint="eastAsia" w:ascii="方正仿宋_GBK" w:hAnsi="方正仿宋_GBK" w:eastAsia="方正仿宋_GBK" w:cs="方正仿宋_GBK"/>
          <w:snapToGrid w:val="0"/>
          <w:color w:val="auto"/>
          <w:kern w:val="0"/>
          <w:sz w:val="21"/>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 w:val="21"/>
          <w:szCs w:val="21"/>
          <w:highlight w:val="none"/>
        </w:rPr>
        <w:t>。项目已具备</w:t>
      </w:r>
      <w:r>
        <w:rPr>
          <w:rFonts w:hint="eastAsia" w:ascii="方正仿宋_GBK" w:hAnsi="方正仿宋_GBK" w:eastAsia="方正仿宋_GBK" w:cs="方正仿宋_GBK"/>
          <w:snapToGrid w:val="0"/>
          <w:color w:val="auto"/>
          <w:kern w:val="0"/>
          <w:position w:val="-2"/>
          <w:sz w:val="21"/>
          <w:szCs w:val="21"/>
          <w:highlight w:val="none"/>
          <w:lang w:eastAsia="zh-CN"/>
        </w:rPr>
        <w:t>比选</w:t>
      </w:r>
      <w:r>
        <w:rPr>
          <w:rFonts w:hint="eastAsia" w:ascii="方正仿宋_GBK" w:hAnsi="方正仿宋_GBK" w:eastAsia="方正仿宋_GBK" w:cs="方正仿宋_GBK"/>
          <w:snapToGrid w:val="0"/>
          <w:color w:val="auto"/>
          <w:kern w:val="0"/>
          <w:position w:val="-2"/>
          <w:sz w:val="21"/>
          <w:szCs w:val="21"/>
          <w:highlight w:val="none"/>
        </w:rPr>
        <w:t>条件，现对重庆环保投资集团有限公司渝东南环境治理分公司</w:t>
      </w:r>
      <w:r>
        <w:rPr>
          <w:rFonts w:hint="eastAsia" w:ascii="方正仿宋_GBK" w:hAnsi="方正仿宋_GBK" w:eastAsia="方正仿宋_GBK" w:cs="方正仿宋_GBK"/>
          <w:snapToGrid w:val="0"/>
          <w:color w:val="auto"/>
          <w:kern w:val="0"/>
          <w:position w:val="-2"/>
          <w:sz w:val="21"/>
          <w:szCs w:val="21"/>
          <w:highlight w:val="none"/>
          <w:lang w:val="en-US" w:eastAsia="zh-CN"/>
        </w:rPr>
        <w:t>人事档案服务工作</w:t>
      </w:r>
      <w:r>
        <w:rPr>
          <w:rFonts w:hint="eastAsia" w:ascii="方正仿宋_GBK" w:hAnsi="方正仿宋_GBK" w:eastAsia="方正仿宋_GBK" w:cs="方正仿宋_GBK"/>
          <w:snapToGrid w:val="0"/>
          <w:color w:val="auto"/>
          <w:kern w:val="0"/>
          <w:position w:val="-2"/>
          <w:sz w:val="21"/>
          <w:szCs w:val="21"/>
          <w:highlight w:val="none"/>
          <w:lang w:eastAsia="zh-CN"/>
        </w:rPr>
        <w:t>进行</w:t>
      </w:r>
      <w:r>
        <w:rPr>
          <w:rFonts w:hint="eastAsia" w:ascii="方正仿宋_GBK" w:hAnsi="方正仿宋_GBK" w:eastAsia="方正仿宋_GBK" w:cs="方正仿宋_GBK"/>
          <w:snapToGrid w:val="0"/>
          <w:color w:val="auto"/>
          <w:kern w:val="0"/>
          <w:position w:val="-2"/>
          <w:sz w:val="21"/>
          <w:szCs w:val="21"/>
          <w:highlight w:val="none"/>
          <w:lang w:val="en-US" w:eastAsia="zh-CN"/>
        </w:rPr>
        <w:t>比选</w:t>
      </w:r>
      <w:r>
        <w:rPr>
          <w:rFonts w:hint="eastAsia" w:ascii="方正仿宋_GBK" w:hAnsi="方正仿宋_GBK" w:eastAsia="方正仿宋_GBK" w:cs="方正仿宋_GBK"/>
          <w:snapToGrid w:val="0"/>
          <w:color w:val="auto"/>
          <w:kern w:val="0"/>
          <w:position w:val="-2"/>
          <w:sz w:val="21"/>
          <w:szCs w:val="21"/>
          <w:highlight w:val="none"/>
          <w:lang w:eastAsia="zh-CN"/>
        </w:rPr>
        <w:t>。</w:t>
      </w:r>
    </w:p>
    <w:p w14:paraId="29E160BF">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7" w:name="_Toc492300547"/>
      <w:bookmarkStart w:id="18" w:name="_Toc23667"/>
      <w:bookmarkStart w:id="19" w:name="_Toc23621"/>
      <w:r>
        <w:rPr>
          <w:rFonts w:hint="eastAsia" w:ascii="方正仿宋_GB18030" w:hAnsi="方正仿宋_GB18030" w:eastAsia="方正仿宋_GB18030" w:cs="方正仿宋_GB18030"/>
          <w:color w:val="auto"/>
          <w:sz w:val="28"/>
          <w:szCs w:val="28"/>
          <w:highlight w:val="none"/>
        </w:rPr>
        <w:t>2. 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49FFA359">
      <w:pPr>
        <w:keepNext w:val="0"/>
        <w:keepLines w:val="0"/>
        <w:pageBreakBefore w:val="0"/>
        <w:widowControl/>
        <w:kinsoku w:val="0"/>
        <w:wordWrap/>
        <w:overflowPunct/>
        <w:topLinePunct w:val="0"/>
        <w:autoSpaceDE w:val="0"/>
        <w:autoSpaceDN w:val="0"/>
        <w:bidi w:val="0"/>
        <w:adjustRightInd w:val="0"/>
        <w:snapToGrid w:val="0"/>
        <w:spacing w:line="360" w:lineRule="auto"/>
        <w:ind w:firstLine="485" w:firstLineChars="231"/>
        <w:textAlignment w:val="baseline"/>
        <w:rPr>
          <w:rFonts w:hint="eastAsia" w:ascii="方正仿宋_GBK" w:hAnsi="方正仿宋_GBK" w:eastAsia="方正仿宋_GBK" w:cs="方正仿宋_GBK"/>
          <w:color w:val="auto"/>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比选</w:t>
      </w:r>
      <w:r>
        <w:rPr>
          <w:rFonts w:hint="eastAsia" w:ascii="方正仿宋_GBK" w:hAnsi="方正仿宋_GBK" w:eastAsia="方正仿宋_GBK" w:cs="方正仿宋_GBK"/>
          <w:color w:val="auto"/>
          <w:sz w:val="21"/>
          <w:szCs w:val="21"/>
          <w:highlight w:val="none"/>
        </w:rPr>
        <w:t>内容和范围</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比选人招采具备档案服务资质的专业机构提供人事档案审核、整理、数字化等相关服务。服务内容、标准及要求参照《人事档案服务协议》及相关国家、行业规范执行。 比选范围：重庆环投渝东南分公司人事档案审查。                                            </w:t>
      </w:r>
    </w:p>
    <w:p w14:paraId="1CD50B7F">
      <w:pPr>
        <w:keepNext w:val="0"/>
        <w:keepLines w:val="0"/>
        <w:pageBreakBefore w:val="0"/>
        <w:widowControl/>
        <w:kinsoku w:val="0"/>
        <w:wordWrap/>
        <w:overflowPunct/>
        <w:topLinePunct w:val="0"/>
        <w:autoSpaceDE w:val="0"/>
        <w:autoSpaceDN w:val="0"/>
        <w:bidi w:val="0"/>
        <w:adjustRightInd w:val="0"/>
        <w:snapToGrid w:val="0"/>
        <w:spacing w:line="360" w:lineRule="auto"/>
        <w:ind w:firstLine="485" w:firstLineChars="231"/>
        <w:textAlignment w:val="baseline"/>
        <w:rPr>
          <w:rFonts w:hint="eastAsia" w:ascii="方正仿宋_GBK" w:hAnsi="方正仿宋_GBK" w:eastAsia="方正仿宋_GBK" w:cs="方正仿宋_GBK"/>
          <w:color w:val="auto"/>
          <w:sz w:val="21"/>
          <w:szCs w:val="21"/>
          <w:highlight w:val="none"/>
          <w:u w:val="single"/>
          <w:lang w:val="en-US" w:eastAsia="zh-CN"/>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服务</w:t>
      </w:r>
      <w:r>
        <w:rPr>
          <w:rFonts w:hint="eastAsia" w:ascii="方正仿宋_GBK" w:hAnsi="方正仿宋_GBK" w:eastAsia="方正仿宋_GBK" w:cs="方正仿宋_GBK"/>
          <w:color w:val="auto"/>
          <w:sz w:val="21"/>
          <w:szCs w:val="21"/>
          <w:highlight w:val="none"/>
          <w:lang w:eastAsia="zh-CN"/>
        </w:rPr>
        <w:t>时间：</w:t>
      </w:r>
      <w:r>
        <w:rPr>
          <w:rFonts w:hint="default" w:ascii="方正仿宋_GBK" w:hAnsi="方正仿宋_GBK" w:eastAsia="方正仿宋_GBK" w:cs="方正仿宋_GBK"/>
          <w:color w:val="auto"/>
          <w:sz w:val="21"/>
          <w:szCs w:val="21"/>
          <w:highlight w:val="none"/>
          <w:u w:val="single"/>
          <w:lang w:val="en-US" w:eastAsia="zh-CN"/>
        </w:rPr>
        <w:t>合同签订之日起</w:t>
      </w:r>
      <w:r>
        <w:rPr>
          <w:rFonts w:hint="eastAsia" w:ascii="方正仿宋_GBK" w:hAnsi="方正仿宋_GBK" w:eastAsia="方正仿宋_GBK" w:cs="方正仿宋_GBK"/>
          <w:color w:val="auto"/>
          <w:sz w:val="21"/>
          <w:szCs w:val="21"/>
          <w:highlight w:val="none"/>
          <w:u w:val="single"/>
          <w:lang w:val="en-US" w:eastAsia="zh-CN"/>
        </w:rPr>
        <w:t>2</w:t>
      </w:r>
      <w:r>
        <w:rPr>
          <w:rFonts w:hint="default" w:ascii="方正仿宋_GBK" w:hAnsi="方正仿宋_GBK" w:eastAsia="方正仿宋_GBK" w:cs="方正仿宋_GBK"/>
          <w:color w:val="auto"/>
          <w:sz w:val="21"/>
          <w:szCs w:val="21"/>
          <w:highlight w:val="none"/>
          <w:u w:val="single"/>
          <w:lang w:val="en-US" w:eastAsia="zh-CN"/>
        </w:rPr>
        <w:t>个月内完成全部人事档案服务工作。如因</w:t>
      </w:r>
      <w:r>
        <w:rPr>
          <w:rFonts w:hint="eastAsia" w:ascii="方正仿宋_GBK" w:hAnsi="方正仿宋_GBK" w:eastAsia="方正仿宋_GBK" w:cs="方正仿宋_GBK"/>
          <w:color w:val="auto"/>
          <w:sz w:val="21"/>
          <w:szCs w:val="21"/>
          <w:highlight w:val="none"/>
          <w:u w:val="single"/>
          <w:lang w:val="en-US" w:eastAsia="zh-CN"/>
        </w:rPr>
        <w:t>采购人</w:t>
      </w:r>
      <w:r>
        <w:rPr>
          <w:rFonts w:hint="default" w:ascii="方正仿宋_GBK" w:hAnsi="方正仿宋_GBK" w:eastAsia="方正仿宋_GBK" w:cs="方正仿宋_GBK"/>
          <w:color w:val="auto"/>
          <w:sz w:val="21"/>
          <w:szCs w:val="21"/>
          <w:highlight w:val="none"/>
          <w:u w:val="single"/>
          <w:lang w:val="en-US" w:eastAsia="zh-CN"/>
        </w:rPr>
        <w:t>补资料导致无法按期完成的，完成时间由双方协商一致后顺延。</w:t>
      </w:r>
      <w:r>
        <w:rPr>
          <w:rFonts w:hint="eastAsia" w:ascii="方正仿宋_GBK" w:hAnsi="方正仿宋_GBK" w:eastAsia="方正仿宋_GBK" w:cs="方正仿宋_GBK"/>
          <w:color w:val="auto"/>
          <w:sz w:val="21"/>
          <w:szCs w:val="21"/>
          <w:highlight w:val="none"/>
          <w:u w:val="single"/>
          <w:lang w:val="en-US" w:eastAsia="zh-CN"/>
        </w:rPr>
        <w:t xml:space="preserve">                                                                              </w:t>
      </w:r>
    </w:p>
    <w:p w14:paraId="39EED68F">
      <w:pPr>
        <w:keepNext w:val="0"/>
        <w:keepLines w:val="0"/>
        <w:pageBreakBefore w:val="0"/>
        <w:widowControl/>
        <w:kinsoku w:val="0"/>
        <w:wordWrap/>
        <w:overflowPunct/>
        <w:topLinePunct w:val="0"/>
        <w:autoSpaceDE w:val="0"/>
        <w:autoSpaceDN w:val="0"/>
        <w:bidi w:val="0"/>
        <w:adjustRightInd w:val="0"/>
        <w:snapToGrid w:val="0"/>
        <w:spacing w:line="360" w:lineRule="auto"/>
        <w:ind w:firstLine="485" w:firstLineChars="231"/>
        <w:textAlignment w:val="baseline"/>
        <w:rPr>
          <w:rFonts w:hint="eastAsia" w:ascii="方正仿宋_GBK" w:hAnsi="方正仿宋_GBK" w:eastAsia="方正仿宋_GBK" w:cs="方正仿宋_GBK"/>
          <w:color w:val="auto"/>
          <w:sz w:val="21"/>
          <w:szCs w:val="21"/>
          <w:highlight w:val="none"/>
          <w:u w:val="single"/>
          <w:lang w:val="en-US" w:eastAsia="zh-CN"/>
        </w:rPr>
      </w:pPr>
      <w:r>
        <w:rPr>
          <w:rFonts w:hint="eastAsia" w:ascii="方正仿宋_GBK" w:hAnsi="方正仿宋_GBK" w:eastAsia="方正仿宋_GBK" w:cs="方正仿宋_GBK"/>
          <w:color w:val="auto"/>
          <w:sz w:val="21"/>
          <w:szCs w:val="21"/>
          <w:highlight w:val="none"/>
          <w:u w:val="single"/>
          <w:lang w:val="en-US" w:eastAsia="zh-CN"/>
        </w:rPr>
        <w:t xml:space="preserve">2.3 服务地点：重庆环保投资集团有限公司渝东南环境治理分公司（重庆市黔江区新华大道东段168号电信大楼）。                                                            </w:t>
      </w:r>
    </w:p>
    <w:p w14:paraId="50AD3C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其他</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因比选人生产经营发生变化需提前终止合同的情形，比选人对</w:t>
      </w:r>
      <w:r>
        <w:rPr>
          <w:rFonts w:hint="eastAsia" w:ascii="方正仿宋_GBK" w:hAnsi="方正仿宋_GBK" w:eastAsia="方正仿宋_GBK" w:cs="方正仿宋_GBK"/>
          <w:color w:val="auto"/>
          <w:sz w:val="21"/>
          <w:szCs w:val="21"/>
          <w:highlight w:val="none"/>
          <w:u w:val="single"/>
          <w:lang w:eastAsia="zh-CN"/>
        </w:rPr>
        <w:t>成交竞选人</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不予任何赔（补）偿。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具有履行合同所必须的专业技术能力；</w:t>
      </w:r>
    </w:p>
    <w:p w14:paraId="4E4549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44BD5F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803F2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法律、行政法规规定的其他条件。</w:t>
      </w:r>
    </w:p>
    <w:p w14:paraId="138531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400"/>
        <w:textAlignment w:val="baseline"/>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3"/>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19369"/>
      <w:bookmarkStart w:id="25" w:name="_Toc492300549"/>
      <w:bookmarkStart w:id="26" w:name="_Toc32727"/>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27" w:name="_Toc492300550"/>
      <w:bookmarkStart w:id="28" w:name="_Toc15122"/>
      <w:bookmarkStart w:id="29" w:name="_Toc32385"/>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0" w:name="_Toc2598"/>
      <w:bookmarkStart w:id="31" w:name="_Toc21928"/>
      <w:bookmarkStart w:id="32" w:name="_Toc492300551"/>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3</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3</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3</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default" w:ascii="Times New Roman" w:hAnsi="Times New Roman" w:eastAsia="方正仿宋_GBK" w:cs="Times New Roman"/>
          <w:color w:val="auto"/>
          <w:highlight w:val="none"/>
          <w:u w:val="none"/>
          <w:lang w:val="en-US" w:eastAsia="zh-CN"/>
        </w:rPr>
        <w:t>，递交方式为现场递交</w:t>
      </w:r>
      <w:r>
        <w:rPr>
          <w:rFonts w:hint="eastAsia" w:ascii="方正仿宋_GB18030" w:hAnsi="方正仿宋_GB18030" w:eastAsia="方正仿宋_GB18030" w:cs="方正仿宋_GB18030"/>
          <w:color w:val="auto"/>
          <w:highlight w:val="none"/>
          <w:lang w:val="en-US" w:eastAsia="zh-CN"/>
        </w:rPr>
        <w:t>。</w:t>
      </w:r>
    </w:p>
    <w:p w14:paraId="00957AC6">
      <w:pPr>
        <w:pStyle w:val="3"/>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492300552"/>
      <w:bookmarkStart w:id="34" w:name="_Toc30653"/>
      <w:bookmarkStart w:id="35" w:name="_Toc11678"/>
      <w:r>
        <w:rPr>
          <w:rFonts w:hint="eastAsia" w:ascii="方正仿宋_GBK" w:hAnsi="方正仿宋_GBK" w:eastAsia="方正仿宋_GBK" w:cs="方正仿宋_GBK"/>
          <w:color w:val="auto"/>
          <w:highlight w:val="none"/>
          <w:lang w:val="en-US" w:eastAsia="zh-CN"/>
        </w:rPr>
        <w:t>本次成交竞选人以成交通知书确认</w:t>
      </w:r>
      <w:r>
        <w:rPr>
          <w:rFonts w:hint="eastAsia" w:ascii="方正仿宋_GB18030" w:hAnsi="方正仿宋_GB18030" w:eastAsia="方正仿宋_GB18030" w:cs="方正仿宋_GB18030"/>
          <w:color w:val="auto"/>
          <w:highlight w:val="none"/>
          <w:lang w:val="en-US" w:eastAsia="zh-CN"/>
        </w:rPr>
        <w:t>。</w:t>
      </w:r>
    </w:p>
    <w:p w14:paraId="39A8FB89">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152042289"/>
      <w:bookmarkEnd w:id="36"/>
      <w:bookmarkStart w:id="37" w:name="_Toc369531498"/>
      <w:bookmarkEnd w:id="37"/>
      <w:bookmarkStart w:id="38" w:name="_Toc384308185"/>
      <w:bookmarkEnd w:id="38"/>
      <w:bookmarkStart w:id="39" w:name="_Toc144974480"/>
      <w:bookmarkEnd w:id="39"/>
      <w:bookmarkStart w:id="40" w:name="_Toc361508562"/>
      <w:bookmarkEnd w:id="40"/>
      <w:bookmarkStart w:id="41" w:name="_Toc247527535"/>
      <w:bookmarkEnd w:id="41"/>
      <w:bookmarkStart w:id="42" w:name="_Toc30817"/>
      <w:bookmarkEnd w:id="42"/>
      <w:bookmarkStart w:id="43" w:name="_Toc361508560"/>
      <w:bookmarkEnd w:id="43"/>
      <w:bookmarkStart w:id="44" w:name="_Toc369531497"/>
      <w:bookmarkEnd w:id="44"/>
      <w:bookmarkStart w:id="45" w:name="_Toc247513935"/>
      <w:bookmarkEnd w:id="45"/>
      <w:bookmarkStart w:id="46" w:name="_Toc300834927"/>
      <w:bookmarkEnd w:id="46"/>
      <w:bookmarkStart w:id="47" w:name="_Toc361508563"/>
      <w:bookmarkEnd w:id="47"/>
      <w:bookmarkStart w:id="48" w:name="_Toc300834929"/>
      <w:bookmarkEnd w:id="48"/>
      <w:bookmarkStart w:id="49" w:name="_Toc10785"/>
      <w:bookmarkEnd w:id="49"/>
      <w:bookmarkStart w:id="50" w:name="_Toc247513934"/>
      <w:bookmarkEnd w:id="50"/>
      <w:bookmarkStart w:id="51" w:name="_Toc247527536"/>
      <w:bookmarkEnd w:id="51"/>
      <w:bookmarkStart w:id="52" w:name="_Toc352691456"/>
      <w:bookmarkEnd w:id="52"/>
      <w:bookmarkStart w:id="53" w:name="_Toc144974481"/>
      <w:bookmarkEnd w:id="53"/>
      <w:bookmarkStart w:id="54" w:name="_Toc352691453"/>
      <w:bookmarkEnd w:id="54"/>
      <w:bookmarkStart w:id="55" w:name="_Toc352691455"/>
      <w:bookmarkEnd w:id="55"/>
      <w:bookmarkStart w:id="56" w:name="_Toc152042288"/>
      <w:bookmarkEnd w:id="56"/>
      <w:bookmarkStart w:id="57" w:name="_Toc17972"/>
      <w:bookmarkEnd w:id="57"/>
      <w:bookmarkStart w:id="58" w:name="_Toc369531495"/>
      <w:bookmarkEnd w:id="58"/>
      <w:bookmarkStart w:id="59" w:name="_Toc384308188"/>
      <w:bookmarkEnd w:id="59"/>
      <w:bookmarkStart w:id="60" w:name="_Toc300834930"/>
      <w:bookmarkEnd w:id="60"/>
      <w:bookmarkStart w:id="61" w:name="_Toc152045512"/>
      <w:bookmarkEnd w:id="61"/>
      <w:bookmarkStart w:id="62" w:name="_Toc152045513"/>
      <w:bookmarkEnd w:id="62"/>
      <w:bookmarkStart w:id="63" w:name="_Toc384308187"/>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地    址：  重庆市黔江区城东街道新华大道东段168号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66541214">
      <w:pPr>
        <w:spacing w:line="360" w:lineRule="auto"/>
        <w:ind w:firstLine="420" w:firstLineChars="200"/>
        <w:rPr>
          <w:rFonts w:hint="eastAsia" w:ascii="方正仿宋_GB18030" w:hAnsi="方正仿宋_GB18030" w:eastAsia="方正仿宋_GB18030" w:cs="方正仿宋_GB18030"/>
          <w:color w:val="auto"/>
          <w:highlight w:val="none"/>
          <w:u w:val="single"/>
          <w:lang w:val="en-US" w:eastAsia="zh-CN"/>
        </w:rPr>
      </w:pPr>
      <w:r>
        <w:rPr>
          <w:rFonts w:hint="default" w:ascii="Times New Roman" w:hAnsi="Times New Roman" w:eastAsia="方正仿宋_GBK" w:cs="Times New Roman"/>
          <w:color w:val="auto"/>
          <w:highlight w:val="none"/>
          <w:u w:val="none"/>
          <w:lang w:val="en-US" w:eastAsia="zh-CN"/>
        </w:rPr>
        <w:t>需求部门经办人（负责采购需求、技术条款、履约标准答疑）：王老师，电话1</w:t>
      </w:r>
      <w:r>
        <w:rPr>
          <w:rFonts w:hint="eastAsia" w:ascii="Times New Roman" w:hAnsi="Times New Roman" w:eastAsia="方正仿宋_GBK" w:cs="Times New Roman"/>
          <w:color w:val="auto"/>
          <w:highlight w:val="none"/>
          <w:u w:val="none"/>
          <w:lang w:val="en-US" w:eastAsia="zh-CN"/>
        </w:rPr>
        <w:t>3512307766</w:t>
      </w:r>
      <w:r>
        <w:rPr>
          <w:rFonts w:hint="default" w:ascii="Times New Roman" w:hAnsi="Times New Roman" w:eastAsia="方正仿宋_GBK" w:cs="Times New Roman"/>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single"/>
          <w:lang w:val="en-US" w:eastAsia="zh-CN"/>
        </w:rPr>
        <w:t xml:space="preserve"> </w:t>
      </w:r>
    </w:p>
    <w:p w14:paraId="560DCD72">
      <w:pPr>
        <w:spacing w:line="360" w:lineRule="auto"/>
        <w:rPr>
          <w:rFonts w:hint="eastAsia" w:ascii="方正仿宋_GB18030" w:hAnsi="方正仿宋_GB18030" w:eastAsia="方正仿宋_GB18030" w:cs="方正仿宋_GB18030"/>
          <w:color w:val="auto"/>
          <w:highlight w:val="none"/>
          <w:u w:val="single"/>
          <w:lang w:val="en-US" w:eastAsia="zh-CN"/>
        </w:rPr>
      </w:pPr>
    </w:p>
    <w:p w14:paraId="77FE1BB9">
      <w:pPr>
        <w:spacing w:line="360" w:lineRule="auto"/>
        <w:ind w:firstLine="5460" w:firstLineChars="2600"/>
        <w:rPr>
          <w:rFonts w:asciiTheme="minorEastAsia" w:hAnsiTheme="minorEastAsia" w:eastAsiaTheme="minorEastAsia"/>
          <w:color w:val="auto"/>
          <w:highlight w:val="none"/>
        </w:rPr>
      </w:pPr>
      <w:r>
        <w:rPr>
          <w:rFonts w:hint="eastAsia" w:ascii="方正仿宋_GB18030" w:hAnsi="方正仿宋_GB18030" w:eastAsia="方正仿宋_GB18030" w:cs="方正仿宋_GB18030"/>
          <w:color w:val="auto"/>
          <w:highlight w:val="none"/>
          <w:u w:val="single"/>
          <w:lang w:val="en-US" w:eastAsia="zh-CN"/>
        </w:rPr>
        <w:t xml:space="preserve">  2026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5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29 </w:t>
      </w:r>
      <w:r>
        <w:rPr>
          <w:rFonts w:hint="eastAsia" w:ascii="方正仿宋_GB18030" w:hAnsi="方正仿宋_GB18030" w:eastAsia="方正仿宋_GB18030" w:cs="方正仿宋_GB18030"/>
          <w:color w:val="auto"/>
          <w:highlight w:val="none"/>
          <w:u w:val="none"/>
          <w:lang w:val="en-US" w:eastAsia="zh-CN"/>
        </w:rPr>
        <w:t>日</w:t>
      </w:r>
    </w:p>
    <w:p w14:paraId="06F2CCC6">
      <w:pPr>
        <w:rPr>
          <w:rFonts w:asciiTheme="minorEastAsia" w:hAnsiTheme="minorEastAsia" w:eastAsiaTheme="minorEastAsia"/>
          <w:color w:val="auto"/>
          <w:highlight w:val="none"/>
        </w:rPr>
      </w:pPr>
    </w:p>
    <w:p w14:paraId="2DE946E7">
      <w:pPr>
        <w:rPr>
          <w:rFonts w:asciiTheme="minorEastAsia" w:hAnsiTheme="minorEastAsia" w:eastAsiaTheme="minorEastAsia"/>
          <w:color w:val="auto"/>
          <w:highlight w:val="none"/>
        </w:rPr>
      </w:pPr>
    </w:p>
    <w:p w14:paraId="001F528C">
      <w:pPr>
        <w:rPr>
          <w:rFonts w:asciiTheme="minorEastAsia" w:hAnsiTheme="minorEastAsia" w:eastAsiaTheme="minorEastAsia"/>
          <w:color w:val="auto"/>
          <w:highlight w:val="none"/>
        </w:rPr>
      </w:pPr>
    </w:p>
    <w:p w14:paraId="584F1D6E">
      <w:pPr>
        <w:rPr>
          <w:rFonts w:asciiTheme="minorEastAsia" w:hAnsiTheme="minorEastAsia" w:eastAsiaTheme="minorEastAsia"/>
          <w:color w:val="auto"/>
          <w:highlight w:val="none"/>
        </w:rPr>
      </w:pPr>
    </w:p>
    <w:p w14:paraId="220587C9">
      <w:pPr>
        <w:rPr>
          <w:rFonts w:asciiTheme="minorEastAsia" w:hAnsiTheme="minorEastAsia" w:eastAsiaTheme="minorEastAsia"/>
          <w:color w:val="auto"/>
          <w:highlight w:val="none"/>
        </w:rPr>
      </w:pPr>
    </w:p>
    <w:p w14:paraId="265DC62D">
      <w:pPr>
        <w:rPr>
          <w:rFonts w:asciiTheme="minorEastAsia" w:hAnsiTheme="minorEastAsia" w:eastAsiaTheme="minorEastAsia"/>
          <w:color w:val="auto"/>
          <w:highlight w:val="none"/>
        </w:rPr>
      </w:pPr>
    </w:p>
    <w:p w14:paraId="40A73330">
      <w:pPr>
        <w:rPr>
          <w:rFonts w:asciiTheme="minorEastAsia" w:hAnsiTheme="minorEastAsia" w:eastAsiaTheme="minorEastAsia"/>
          <w:color w:val="auto"/>
          <w:highlight w:val="none"/>
        </w:rPr>
      </w:pPr>
    </w:p>
    <w:p w14:paraId="2A063BA9">
      <w:pPr>
        <w:rPr>
          <w:rFonts w:asciiTheme="minorEastAsia" w:hAnsiTheme="minorEastAsia" w:eastAsiaTheme="minorEastAsia"/>
          <w:color w:val="auto"/>
          <w:highlight w:val="none"/>
        </w:rPr>
      </w:pPr>
    </w:p>
    <w:p w14:paraId="7E9B25C1">
      <w:pPr>
        <w:rPr>
          <w:rFonts w:asciiTheme="minorEastAsia" w:hAnsiTheme="minorEastAsia" w:eastAsiaTheme="minorEastAsia"/>
          <w:color w:val="auto"/>
          <w:highlight w:val="none"/>
        </w:rPr>
      </w:pPr>
    </w:p>
    <w:p w14:paraId="4ACC18DB">
      <w:pPr>
        <w:rPr>
          <w:rFonts w:asciiTheme="minorEastAsia" w:hAnsiTheme="minorEastAsia" w:eastAsiaTheme="minorEastAsia"/>
          <w:color w:val="auto"/>
          <w:highlight w:val="none"/>
        </w:rPr>
      </w:pPr>
    </w:p>
    <w:p w14:paraId="12659C7A">
      <w:pPr>
        <w:rPr>
          <w:rFonts w:asciiTheme="minorEastAsia" w:hAnsiTheme="minorEastAsia" w:eastAsiaTheme="minorEastAsia"/>
          <w:color w:val="auto"/>
          <w:highlight w:val="none"/>
        </w:rPr>
      </w:pPr>
    </w:p>
    <w:p w14:paraId="15C7260D">
      <w:pPr>
        <w:rPr>
          <w:rFonts w:asciiTheme="minorEastAsia" w:hAnsiTheme="minorEastAsia" w:eastAsiaTheme="minorEastAsia"/>
          <w:color w:val="auto"/>
          <w:highlight w:val="none"/>
        </w:rPr>
      </w:pPr>
    </w:p>
    <w:p w14:paraId="61C96BF1">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bookmarkStart w:id="64" w:name="_Toc27337"/>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3"/>
        <w:widowControl w:val="0"/>
        <w:kinsoku/>
        <w:autoSpaceDE/>
        <w:autoSpaceDN/>
        <w:adjustRightInd/>
        <w:snapToGrid/>
        <w:spacing w:before="0" w:after="0" w:line="360" w:lineRule="auto"/>
        <w:jc w:val="center"/>
        <w:textAlignment w:val="auto"/>
        <w:rPr>
          <w:rFonts w:hint="eastAsia" w:ascii="方正楷体_GBK" w:hAnsi="方正楷体_GBK" w:eastAsia="方正楷体_GBK" w:cs="方正楷体_GBK"/>
          <w:snapToGrid/>
          <w:color w:val="auto"/>
          <w:kern w:val="2"/>
          <w:szCs w:val="21"/>
          <w:highlight w:val="none"/>
          <w:lang w:val="en-US" w:eastAsia="zh-CN" w:bidi="ar-SA"/>
        </w:rPr>
      </w:pPr>
      <w:bookmarkStart w:id="65" w:name="_Toc16977"/>
      <w:r>
        <w:rPr>
          <w:rFonts w:hint="eastAsia" w:ascii="方正楷体_GBK" w:hAnsi="方正楷体_GBK" w:eastAsia="方正楷体_GBK" w:cs="方正楷体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6FA87A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 xml:space="preserve">重庆市黔江区城东街道新华大道东段168号 </w:t>
            </w:r>
          </w:p>
          <w:p w14:paraId="782317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7BF288B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2BC2093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重庆环保投资集团有限公司渝东南环境治理分公司人事档案服务</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71A6FC19">
            <w:pPr>
              <w:widowControl w:val="0"/>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重庆环投渝东南分公司人事档案审查</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服务时间</w:t>
            </w:r>
          </w:p>
        </w:tc>
        <w:tc>
          <w:tcPr>
            <w:tcW w:w="4260" w:type="dxa"/>
            <w:vAlign w:val="top"/>
          </w:tcPr>
          <w:p w14:paraId="7AC4B28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合同签订之日起</w:t>
            </w:r>
            <w:r>
              <w:rPr>
                <w:rFonts w:hint="eastAsia" w:ascii="方正仿宋_GBK" w:hAnsi="方正仿宋_GBK" w:eastAsia="方正仿宋_GBK" w:cs="方正仿宋_GBK"/>
                <w:snapToGrid/>
                <w:color w:val="auto"/>
                <w:kern w:val="2"/>
                <w:szCs w:val="21"/>
                <w:highlight w:val="none"/>
                <w:lang w:val="en-US" w:eastAsia="zh-CN" w:bidi="ar-SA"/>
              </w:rPr>
              <w:t>2</w:t>
            </w:r>
            <w:r>
              <w:rPr>
                <w:rFonts w:hint="default" w:ascii="方正仿宋_GBK" w:hAnsi="方正仿宋_GBK" w:eastAsia="方正仿宋_GBK" w:cs="方正仿宋_GBK"/>
                <w:snapToGrid/>
                <w:color w:val="auto"/>
                <w:kern w:val="2"/>
                <w:szCs w:val="21"/>
                <w:highlight w:val="none"/>
                <w:lang w:val="en-US" w:eastAsia="zh-CN" w:bidi="ar-SA"/>
              </w:rPr>
              <w:t>个月内完成全部人事档案服务工作。如因</w:t>
            </w:r>
            <w:r>
              <w:rPr>
                <w:rFonts w:hint="eastAsia" w:ascii="方正仿宋_GBK" w:hAnsi="方正仿宋_GBK" w:eastAsia="方正仿宋_GBK" w:cs="方正仿宋_GBK"/>
                <w:snapToGrid/>
                <w:color w:val="auto"/>
                <w:kern w:val="2"/>
                <w:szCs w:val="21"/>
                <w:highlight w:val="none"/>
                <w:lang w:val="en-US" w:eastAsia="zh-CN" w:bidi="ar-SA"/>
              </w:rPr>
              <w:t>采购人</w:t>
            </w:r>
            <w:r>
              <w:rPr>
                <w:rFonts w:hint="default" w:ascii="方正仿宋_GBK" w:hAnsi="方正仿宋_GBK" w:eastAsia="方正仿宋_GBK" w:cs="方正仿宋_GBK"/>
                <w:snapToGrid/>
                <w:color w:val="auto"/>
                <w:kern w:val="2"/>
                <w:szCs w:val="21"/>
                <w:highlight w:val="none"/>
                <w:lang w:val="en-US" w:eastAsia="zh-CN" w:bidi="ar-SA"/>
              </w:rPr>
              <w:t>补资料导致无法按期完成的，完成时间由双方协商一致后顺延。</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服务地点</w:t>
            </w:r>
          </w:p>
        </w:tc>
        <w:tc>
          <w:tcPr>
            <w:tcW w:w="4260" w:type="dxa"/>
            <w:vAlign w:val="top"/>
          </w:tcPr>
          <w:p w14:paraId="337FFE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重庆环保投资集团有限公司渝东南环境治理分公司（重庆市黔江区新华大道东段168号电信大楼）</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5BB226F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（一）服务内容</w:t>
            </w:r>
          </w:p>
          <w:p w14:paraId="635C1FB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成交人</w:t>
            </w:r>
            <w:r>
              <w:rPr>
                <w:rFonts w:hint="default" w:ascii="方正仿宋_GBK" w:hAnsi="方正仿宋_GBK" w:eastAsia="方正仿宋_GBK" w:cs="方正仿宋_GBK"/>
                <w:snapToGrid/>
                <w:color w:val="auto"/>
                <w:kern w:val="2"/>
                <w:szCs w:val="21"/>
                <w:highlight w:val="none"/>
                <w:lang w:val="en-US" w:eastAsia="zh-CN" w:bidi="ar-SA"/>
              </w:rPr>
              <w:t>对</w:t>
            </w:r>
            <w:r>
              <w:rPr>
                <w:rFonts w:hint="eastAsia" w:ascii="方正仿宋_GBK" w:hAnsi="方正仿宋_GBK" w:eastAsia="方正仿宋_GBK" w:cs="方正仿宋_GBK"/>
                <w:snapToGrid/>
                <w:color w:val="auto"/>
                <w:kern w:val="2"/>
                <w:szCs w:val="21"/>
                <w:highlight w:val="none"/>
                <w:lang w:val="en-US" w:eastAsia="zh-CN" w:bidi="ar-SA"/>
              </w:rPr>
              <w:t>采购人</w:t>
            </w:r>
            <w:r>
              <w:rPr>
                <w:rFonts w:hint="default" w:ascii="方正仿宋_GBK" w:hAnsi="方正仿宋_GBK" w:eastAsia="方正仿宋_GBK" w:cs="方正仿宋_GBK"/>
                <w:snapToGrid/>
                <w:color w:val="auto"/>
                <w:kern w:val="2"/>
                <w:szCs w:val="21"/>
                <w:highlight w:val="none"/>
                <w:lang w:val="en-US" w:eastAsia="zh-CN" w:bidi="ar-SA"/>
              </w:rPr>
              <w:t>提供的人事档案进行鉴定、分类、查重、剔除不归档文件、排序、托裱修补、编页、档号划分、编制目录、背脊著录、数字化加工、装盒及指导工作。</w:t>
            </w:r>
          </w:p>
          <w:p w14:paraId="01D496A2">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（二）服务标准</w:t>
            </w:r>
          </w:p>
          <w:p w14:paraId="2BE6C292">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本次档案服务工作必须达到以下标准：</w:t>
            </w:r>
          </w:p>
          <w:p w14:paraId="680E8CB0">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《中华人民共和国档案法》</w:t>
            </w:r>
          </w:p>
          <w:p w14:paraId="0595BD49">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《中华人民共和国保密法》</w:t>
            </w:r>
          </w:p>
          <w:p w14:paraId="55835A63">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《干部档案整理工作细则》</w:t>
            </w:r>
          </w:p>
          <w:p w14:paraId="0ACDAEA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《中共中央组织部关于做好文件改版涉及干部人事档案有关工作的通知》</w:t>
            </w:r>
          </w:p>
          <w:p w14:paraId="3471F983">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国标DA/T22-2015《归档文件整理规则》</w:t>
            </w:r>
          </w:p>
          <w:p w14:paraId="5BB5C808">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国标DA/T18-1999《档案著录规则》</w:t>
            </w:r>
          </w:p>
          <w:p w14:paraId="703C5279">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中共中央组织部办公厅《关于进一步做好干部人事档案信息化工作的通知》（组厅字〔2020〕13号）</w:t>
            </w:r>
          </w:p>
          <w:p w14:paraId="2B65D86F">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中共重庆市委组织部转发中央组织部办公厅《关于进一步做好干部人事档案信息化工作的通知》的通知（渝委组〔2020〕51号）</w:t>
            </w:r>
          </w:p>
          <w:p w14:paraId="55D4F199">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国家对干部人事档案的相关要求</w:t>
            </w:r>
          </w:p>
          <w:p w14:paraId="271F6C43">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（三）主要要求</w:t>
            </w:r>
          </w:p>
          <w:p w14:paraId="6010AC35">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w:t>
            </w:r>
            <w:r>
              <w:rPr>
                <w:rFonts w:hint="default" w:ascii="方正仿宋_GBK" w:hAnsi="方正仿宋_GBK" w:eastAsia="方正仿宋_GBK" w:cs="方正仿宋_GBK"/>
                <w:snapToGrid/>
                <w:color w:val="auto"/>
                <w:kern w:val="2"/>
                <w:szCs w:val="21"/>
                <w:highlight w:val="none"/>
                <w:lang w:val="en-US" w:eastAsia="zh-CN" w:bidi="ar-SA"/>
              </w:rPr>
              <w:t>服务场地由</w:t>
            </w:r>
            <w:r>
              <w:rPr>
                <w:rFonts w:hint="eastAsia" w:ascii="方正仿宋_GBK" w:hAnsi="方正仿宋_GBK" w:eastAsia="方正仿宋_GBK" w:cs="方正仿宋_GBK"/>
                <w:snapToGrid/>
                <w:color w:val="auto"/>
                <w:kern w:val="2"/>
                <w:szCs w:val="21"/>
                <w:highlight w:val="none"/>
                <w:lang w:val="en-US" w:eastAsia="zh-CN" w:bidi="ar-SA"/>
              </w:rPr>
              <w:t>采购人</w:t>
            </w:r>
            <w:r>
              <w:rPr>
                <w:rFonts w:hint="default" w:ascii="方正仿宋_GBK" w:hAnsi="方正仿宋_GBK" w:eastAsia="方正仿宋_GBK" w:cs="方正仿宋_GBK"/>
                <w:snapToGrid/>
                <w:color w:val="auto"/>
                <w:kern w:val="2"/>
                <w:szCs w:val="21"/>
                <w:highlight w:val="none"/>
                <w:lang w:val="en-US" w:eastAsia="zh-CN" w:bidi="ar-SA"/>
              </w:rPr>
              <w:t>提供；</w:t>
            </w:r>
          </w:p>
          <w:p w14:paraId="14C20AB3">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w:t>
            </w:r>
            <w:r>
              <w:rPr>
                <w:rFonts w:hint="default" w:ascii="方正仿宋_GBK" w:hAnsi="方正仿宋_GBK" w:eastAsia="方正仿宋_GBK" w:cs="方正仿宋_GBK"/>
                <w:snapToGrid/>
                <w:color w:val="auto"/>
                <w:kern w:val="2"/>
                <w:szCs w:val="21"/>
                <w:highlight w:val="none"/>
                <w:lang w:val="en-US" w:eastAsia="zh-CN" w:bidi="ar-SA"/>
              </w:rPr>
              <w:t>服务过程中对</w:t>
            </w:r>
            <w:r>
              <w:rPr>
                <w:rFonts w:hint="eastAsia" w:ascii="方正仿宋_GBK" w:hAnsi="方正仿宋_GBK" w:eastAsia="方正仿宋_GBK" w:cs="方正仿宋_GBK"/>
                <w:snapToGrid/>
                <w:color w:val="auto"/>
                <w:kern w:val="2"/>
                <w:szCs w:val="21"/>
                <w:highlight w:val="none"/>
                <w:lang w:val="en-US" w:eastAsia="zh-CN" w:bidi="ar-SA"/>
              </w:rPr>
              <w:t>采购人</w:t>
            </w:r>
            <w:r>
              <w:rPr>
                <w:rFonts w:hint="default" w:ascii="方正仿宋_GBK" w:hAnsi="方正仿宋_GBK" w:eastAsia="方正仿宋_GBK" w:cs="方正仿宋_GBK"/>
                <w:snapToGrid/>
                <w:color w:val="auto"/>
                <w:kern w:val="2"/>
                <w:szCs w:val="21"/>
                <w:highlight w:val="none"/>
                <w:lang w:val="en-US" w:eastAsia="zh-CN" w:bidi="ar-SA"/>
              </w:rPr>
              <w:t>档案内容严格保密；</w:t>
            </w:r>
          </w:p>
          <w:p w14:paraId="6BD7CCD5">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w:t>
            </w:r>
            <w:r>
              <w:rPr>
                <w:rFonts w:hint="default" w:ascii="方正仿宋_GBK" w:hAnsi="方正仿宋_GBK" w:eastAsia="方正仿宋_GBK" w:cs="方正仿宋_GBK"/>
                <w:snapToGrid/>
                <w:color w:val="auto"/>
                <w:kern w:val="2"/>
                <w:szCs w:val="21"/>
                <w:highlight w:val="none"/>
                <w:lang w:val="en-US" w:eastAsia="zh-CN" w:bidi="ar-SA"/>
              </w:rPr>
              <w:t>不得损坏档案的完整性；</w:t>
            </w:r>
          </w:p>
          <w:p w14:paraId="705A435F">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w:t>
            </w:r>
            <w:r>
              <w:rPr>
                <w:rFonts w:hint="default" w:ascii="方正仿宋_GBK" w:hAnsi="方正仿宋_GBK" w:eastAsia="方正仿宋_GBK" w:cs="方正仿宋_GBK"/>
                <w:snapToGrid/>
                <w:color w:val="auto"/>
                <w:kern w:val="2"/>
                <w:szCs w:val="21"/>
                <w:highlight w:val="none"/>
                <w:lang w:val="en-US" w:eastAsia="zh-CN" w:bidi="ar-SA"/>
              </w:rPr>
              <w:t>不得丢失、遗漏任何一份档案；</w:t>
            </w:r>
          </w:p>
          <w:p w14:paraId="10608DBE">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w:t>
            </w:r>
            <w:r>
              <w:rPr>
                <w:rFonts w:hint="default" w:ascii="方正仿宋_GBK" w:hAnsi="方正仿宋_GBK" w:eastAsia="方正仿宋_GBK" w:cs="方正仿宋_GBK"/>
                <w:snapToGrid/>
                <w:color w:val="auto"/>
                <w:kern w:val="2"/>
                <w:szCs w:val="21"/>
                <w:highlight w:val="none"/>
                <w:lang w:val="en-US" w:eastAsia="zh-CN" w:bidi="ar-SA"/>
              </w:rPr>
              <w:t>按照中组部干部人事档案工作要求执行；</w:t>
            </w:r>
          </w:p>
          <w:p w14:paraId="2E3ED8A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w:t>
            </w:r>
            <w:r>
              <w:rPr>
                <w:rFonts w:hint="default" w:ascii="方正仿宋_GBK" w:hAnsi="方正仿宋_GBK" w:eastAsia="方正仿宋_GBK" w:cs="方正仿宋_GBK"/>
                <w:snapToGrid/>
                <w:color w:val="auto"/>
                <w:kern w:val="2"/>
                <w:szCs w:val="21"/>
                <w:highlight w:val="none"/>
                <w:lang w:val="en-US" w:eastAsia="zh-CN" w:bidi="ar-SA"/>
              </w:rPr>
              <w:t>按照标准要求指导装订还原；</w:t>
            </w:r>
          </w:p>
          <w:p w14:paraId="529526B0">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w:t>
            </w:r>
            <w:r>
              <w:rPr>
                <w:rFonts w:hint="default" w:ascii="方正仿宋_GBK" w:hAnsi="方正仿宋_GBK" w:eastAsia="方正仿宋_GBK" w:cs="方正仿宋_GBK"/>
                <w:snapToGrid/>
                <w:color w:val="auto"/>
                <w:kern w:val="2"/>
                <w:szCs w:val="21"/>
                <w:highlight w:val="none"/>
                <w:lang w:val="en-US" w:eastAsia="zh-CN" w:bidi="ar-SA"/>
              </w:rPr>
              <w:t>国家档案局关于档案归档立卷规定不明确的，按照行业规定或行业习惯执行。</w:t>
            </w:r>
          </w:p>
          <w:p w14:paraId="5882CA05">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（四）验收标准</w:t>
            </w:r>
          </w:p>
          <w:p w14:paraId="629D9AF3">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w:t>
            </w:r>
            <w:r>
              <w:rPr>
                <w:rFonts w:hint="default" w:ascii="方正仿宋_GBK" w:hAnsi="方正仿宋_GBK" w:eastAsia="方正仿宋_GBK" w:cs="方正仿宋_GBK"/>
                <w:snapToGrid/>
                <w:color w:val="auto"/>
                <w:kern w:val="2"/>
                <w:szCs w:val="21"/>
                <w:highlight w:val="none"/>
                <w:lang w:val="en-US" w:eastAsia="zh-CN" w:bidi="ar-SA"/>
              </w:rPr>
              <w:t>干部人事档案分类准确；</w:t>
            </w:r>
          </w:p>
          <w:p w14:paraId="2C98ACC0">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w:t>
            </w:r>
            <w:r>
              <w:rPr>
                <w:rFonts w:hint="default" w:ascii="方正仿宋_GBK" w:hAnsi="方正仿宋_GBK" w:eastAsia="方正仿宋_GBK" w:cs="方正仿宋_GBK"/>
                <w:snapToGrid/>
                <w:color w:val="auto"/>
                <w:kern w:val="2"/>
                <w:szCs w:val="21"/>
                <w:highlight w:val="none"/>
                <w:lang w:val="en-US" w:eastAsia="zh-CN" w:bidi="ar-SA"/>
              </w:rPr>
              <w:t>干部人事档案加工科学；</w:t>
            </w:r>
          </w:p>
          <w:p w14:paraId="3BE6334D">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w:t>
            </w:r>
            <w:r>
              <w:rPr>
                <w:rFonts w:hint="default" w:ascii="方正仿宋_GBK" w:hAnsi="方正仿宋_GBK" w:eastAsia="方正仿宋_GBK" w:cs="方正仿宋_GBK"/>
                <w:snapToGrid/>
                <w:color w:val="auto"/>
                <w:kern w:val="2"/>
                <w:szCs w:val="21"/>
                <w:highlight w:val="none"/>
                <w:lang w:val="en-US" w:eastAsia="zh-CN" w:bidi="ar-SA"/>
              </w:rPr>
              <w:t>干部人事档案排列有序；</w:t>
            </w:r>
          </w:p>
          <w:p w14:paraId="0C8A3D7B">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w:t>
            </w:r>
            <w:r>
              <w:rPr>
                <w:rFonts w:hint="default" w:ascii="方正仿宋_GBK" w:hAnsi="方正仿宋_GBK" w:eastAsia="方正仿宋_GBK" w:cs="方正仿宋_GBK"/>
                <w:snapToGrid/>
                <w:color w:val="auto"/>
                <w:kern w:val="2"/>
                <w:szCs w:val="21"/>
                <w:highlight w:val="none"/>
                <w:lang w:val="en-US" w:eastAsia="zh-CN" w:bidi="ar-SA"/>
              </w:rPr>
              <w:t>干部人事档案目录正确；</w:t>
            </w:r>
          </w:p>
          <w:p w14:paraId="62960D14">
            <w:pPr>
              <w:widowControl w:val="0"/>
              <w:kinsoku/>
              <w:autoSpaceDE/>
              <w:autoSpaceDN/>
              <w:adjustRightInd/>
              <w:snapToGrid/>
              <w:spacing w:line="400" w:lineRule="exact"/>
              <w:jc w:val="left"/>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w:t>
            </w:r>
            <w:r>
              <w:rPr>
                <w:rFonts w:hint="default" w:ascii="方正仿宋_GBK" w:hAnsi="方正仿宋_GBK" w:eastAsia="方正仿宋_GBK" w:cs="方正仿宋_GBK"/>
                <w:snapToGrid/>
                <w:color w:val="auto"/>
                <w:kern w:val="2"/>
                <w:szCs w:val="21"/>
                <w:highlight w:val="none"/>
                <w:lang w:val="en-US" w:eastAsia="zh-CN" w:bidi="ar-SA"/>
              </w:rPr>
              <w:t>干部人事档案装订规范；</w:t>
            </w:r>
          </w:p>
          <w:p w14:paraId="113823F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w:t>
            </w:r>
            <w:r>
              <w:rPr>
                <w:rFonts w:hint="default" w:ascii="方正仿宋_GBK" w:hAnsi="方正仿宋_GBK" w:eastAsia="方正仿宋_GBK" w:cs="方正仿宋_GBK"/>
                <w:snapToGrid/>
                <w:color w:val="auto"/>
                <w:kern w:val="2"/>
                <w:szCs w:val="21"/>
                <w:highlight w:val="none"/>
                <w:lang w:val="en-US" w:eastAsia="zh-CN" w:bidi="ar-SA"/>
              </w:rPr>
              <w:t>档案成果达到完整、真实、条理、精炼、实用。</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67A08B74">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lang w:eastAsia="zh-CN"/>
              </w:rPr>
              <w:t>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3AAD1C3C">
            <w:pPr>
              <w:widowControl w:val="0"/>
              <w:spacing w:line="240" w:lineRule="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highlight w:val="none"/>
                <w:lang w:val="en-US" w:eastAsia="zh-CN"/>
              </w:rPr>
              <w:t>7.法律、行政法规规定的其他条件。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☑有，最高竞选限价：7560元（大写：柒仟伍佰陆拾元整）</w:t>
            </w:r>
            <w:bookmarkStart w:id="257" w:name="_GoBack"/>
            <w:bookmarkEnd w:id="257"/>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1C48ECF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419137B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2.本次比选报价采取含税全费用包干价进行计价结算。</w:t>
            </w:r>
          </w:p>
          <w:p w14:paraId="4DD096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3.竞选人自主报价应自行考虑项目距离带来的风险。报价包含但不限于完成全部工作的所有费用。</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4246A3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45A27B8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2692910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67BA153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5DDB629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654F3FC4">
            <w:pPr>
              <w:pStyle w:val="6"/>
              <w:keepNext w:val="0"/>
              <w:keepLines w:val="0"/>
              <w:pageBreakBefore w:val="0"/>
              <w:widowControl w:val="0"/>
              <w:wordWrap/>
              <w:overflowPunct/>
              <w:topLinePunct w:val="0"/>
              <w:bidi w:val="0"/>
              <w:snapToGrid w:val="0"/>
              <w:spacing w:line="240" w:lineRule="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4E6717C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合同签订后20日内采购人支付合同暂定总额的40%给成交人作为预付款，项目验收合格后采购人按照合同结算价结算剩余所有费用给成交人，</w:t>
            </w:r>
            <w:r>
              <w:rPr>
                <w:rFonts w:hint="default" w:ascii="方正仿宋_GBK" w:hAnsi="方正仿宋_GBK" w:eastAsia="方正仿宋_GBK" w:cs="方正仿宋_GBK"/>
                <w:snapToGrid/>
                <w:color w:val="auto"/>
                <w:kern w:val="2"/>
                <w:szCs w:val="21"/>
                <w:highlight w:val="none"/>
                <w:lang w:val="en-US" w:eastAsia="zh-CN" w:bidi="ar-SA"/>
              </w:rPr>
              <w:t>成交单位提供等额增值税发票后1</w:t>
            </w:r>
            <w:r>
              <w:rPr>
                <w:rFonts w:hint="eastAsia" w:ascii="方正仿宋_GBK" w:hAnsi="方正仿宋_GBK" w:eastAsia="方正仿宋_GBK" w:cs="方正仿宋_GBK"/>
                <w:snapToGrid/>
                <w:color w:val="auto"/>
                <w:kern w:val="2"/>
                <w:szCs w:val="21"/>
                <w:highlight w:val="none"/>
                <w:lang w:val="en-US" w:eastAsia="zh-CN" w:bidi="ar-SA"/>
              </w:rPr>
              <w:t>5</w:t>
            </w:r>
            <w:r>
              <w:rPr>
                <w:rFonts w:hint="default" w:ascii="方正仿宋_GBK" w:hAnsi="方正仿宋_GBK" w:eastAsia="方正仿宋_GBK" w:cs="方正仿宋_GBK"/>
                <w:snapToGrid/>
                <w:color w:val="auto"/>
                <w:kern w:val="2"/>
                <w:szCs w:val="21"/>
                <w:highlight w:val="none"/>
                <w:lang w:val="en-US" w:eastAsia="zh-CN" w:bidi="ar-SA"/>
              </w:rPr>
              <w:t>个工作日内（遇节假日顺延），一次性支付服务费用。</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73B3965B">
            <w:pPr>
              <w:widowControl w:val="0"/>
              <w:spacing w:before="60"/>
              <w:ind w:left="105" w:right="105"/>
              <w:contextualSpacing/>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ascii="方正仿宋_GBK" w:hAnsi="方正仿宋_GBK" w:eastAsia="方正仿宋_GBK" w:cs="方正仿宋_GBK"/>
          <w:snapToGrid/>
          <w:color w:val="auto"/>
          <w:kern w:val="2"/>
          <w:highlight w:val="none"/>
          <w:lang w:val="en-US" w:eastAsia="zh-CN" w:bidi="ar-SA"/>
        </w:rPr>
        <w:br w:type="page"/>
      </w:r>
    </w:p>
    <w:p w14:paraId="294F3BD2">
      <w:pPr>
        <w:pStyle w:val="3"/>
        <w:spacing w:before="0" w:after="0" w:line="240" w:lineRule="auto"/>
        <w:ind w:left="105" w:right="105"/>
        <w:contextualSpacing/>
        <w:rPr>
          <w:rFonts w:eastAsiaTheme="minorEastAsia"/>
        </w:rPr>
      </w:pPr>
      <w:bookmarkStart w:id="66" w:name="_Toc20195"/>
      <w:bookmarkStart w:id="67" w:name="_Toc30270"/>
      <w:bookmarkStart w:id="68" w:name="_Toc492300620"/>
      <w:r>
        <w:rPr>
          <w:rFonts w:hint="eastAsia" w:ascii="方正黑体_GBK" w:hAnsi="方正黑体_GBK" w:eastAsia="方正黑体_GBK" w:cs="Times New Roman"/>
        </w:rPr>
        <w:t>1.总则</w:t>
      </w:r>
    </w:p>
    <w:p w14:paraId="38C27ECD">
      <w:pPr>
        <w:pStyle w:val="4"/>
        <w:spacing w:before="0" w:after="0" w:line="240" w:lineRule="auto"/>
        <w:ind w:left="105" w:right="105"/>
        <w:contextualSpacing/>
        <w:rPr>
          <w:rFonts w:ascii="方正仿宋_GBK" w:hAnsi="方正仿宋_GBK" w:eastAsia="方正仿宋_GBK" w:cs="Times New Roman"/>
        </w:rPr>
      </w:pPr>
      <w:bookmarkStart w:id="69" w:name="_bookmark34"/>
      <w:bookmarkEnd w:id="69"/>
      <w:bookmarkStart w:id="70" w:name="_bookmark33"/>
      <w:bookmarkEnd w:id="70"/>
      <w:bookmarkStart w:id="71" w:name="_Toc172188051"/>
      <w:bookmarkStart w:id="72" w:name="_Toc173920556"/>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4"/>
        <w:spacing w:before="0" w:after="0" w:line="240" w:lineRule="auto"/>
        <w:ind w:left="105" w:right="105"/>
        <w:contextualSpacing/>
        <w:rPr>
          <w:rFonts w:ascii="方正仿宋_GBK" w:hAnsi="方正仿宋_GBK" w:eastAsia="方正仿宋_GBK" w:cs="Times New Roman"/>
        </w:rPr>
      </w:pPr>
      <w:bookmarkStart w:id="74" w:name="_Toc172188052"/>
      <w:bookmarkStart w:id="75" w:name="_Toc173920557"/>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4"/>
        <w:spacing w:before="0" w:after="0" w:line="240" w:lineRule="auto"/>
        <w:ind w:left="105" w:right="105"/>
        <w:contextualSpacing/>
        <w:rPr>
          <w:rFonts w:ascii="方正仿宋_GBK" w:hAnsi="方正仿宋_GBK" w:eastAsia="方正仿宋_GBK" w:cs="Times New Roman"/>
        </w:rPr>
      </w:pPr>
      <w:bookmarkStart w:id="76" w:name="_Toc172188053"/>
      <w:bookmarkStart w:id="77" w:name="_Toc173920558"/>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4"/>
        <w:spacing w:before="0" w:after="0" w:line="240" w:lineRule="auto"/>
        <w:ind w:left="105" w:right="105"/>
        <w:contextualSpacing/>
        <w:rPr>
          <w:rFonts w:ascii="方正仿宋_GBK" w:hAnsi="方正仿宋_GBK" w:eastAsia="方正仿宋_GBK" w:cs="Times New Roman"/>
        </w:rPr>
      </w:pPr>
      <w:bookmarkStart w:id="78" w:name="_Toc173920559"/>
      <w:bookmarkStart w:id="79" w:name="_Toc172188054"/>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4"/>
        <w:spacing w:before="0" w:after="0" w:line="240" w:lineRule="auto"/>
        <w:ind w:left="105" w:right="105"/>
        <w:contextualSpacing/>
        <w:rPr>
          <w:rFonts w:ascii="方正仿宋_GBK" w:hAnsi="方正仿宋_GBK" w:eastAsia="方正仿宋_GBK" w:cs="Times New Roman"/>
        </w:rPr>
      </w:pPr>
      <w:bookmarkStart w:id="80" w:name="_Toc173920560"/>
      <w:bookmarkStart w:id="81" w:name="_Toc172188055"/>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4"/>
        <w:spacing w:before="0" w:after="0" w:line="240" w:lineRule="auto"/>
        <w:ind w:left="105" w:right="105"/>
        <w:contextualSpacing/>
        <w:rPr>
          <w:rFonts w:ascii="方正仿宋_GBK" w:hAnsi="方正仿宋_GBK" w:eastAsia="方正仿宋_GBK" w:cs="Times New Roman"/>
        </w:rPr>
      </w:pPr>
      <w:bookmarkStart w:id="82" w:name="_Toc173920561"/>
      <w:bookmarkStart w:id="83" w:name="_Toc172188056"/>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4"/>
        <w:spacing w:before="0" w:after="0" w:line="240" w:lineRule="auto"/>
        <w:ind w:left="105" w:right="105"/>
        <w:contextualSpacing/>
        <w:rPr>
          <w:rFonts w:ascii="方正仿宋_GBK" w:hAnsi="方正仿宋_GBK" w:eastAsia="方正仿宋_GBK" w:cs="Times New Roman"/>
        </w:rPr>
      </w:pPr>
      <w:bookmarkStart w:id="84" w:name="_Toc173920562"/>
      <w:bookmarkStart w:id="85" w:name="_Toc172188057"/>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4"/>
        <w:spacing w:before="0" w:after="0" w:line="240" w:lineRule="auto"/>
        <w:ind w:left="105" w:right="105"/>
        <w:contextualSpacing/>
        <w:rPr>
          <w:rFonts w:ascii="方正仿宋_GBK" w:hAnsi="方正仿宋_GBK" w:eastAsia="方正仿宋_GBK" w:cs="Times New Roman"/>
        </w:rPr>
      </w:pPr>
      <w:bookmarkStart w:id="86" w:name="_Toc172188058"/>
      <w:bookmarkStart w:id="87" w:name="_Toc173920563"/>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4"/>
        <w:spacing w:before="0" w:after="0" w:line="240" w:lineRule="auto"/>
        <w:ind w:left="105" w:right="105"/>
        <w:contextualSpacing/>
        <w:rPr>
          <w:rFonts w:ascii="方正仿宋_GBK" w:hAnsi="方正仿宋_GBK" w:eastAsia="方正仿宋_GBK" w:cs="Times New Roman"/>
        </w:rPr>
      </w:pPr>
      <w:bookmarkStart w:id="88" w:name="_Toc172188059"/>
      <w:bookmarkStart w:id="89" w:name="_Toc173920564"/>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4"/>
        <w:spacing w:before="0" w:after="0" w:line="240" w:lineRule="auto"/>
        <w:ind w:left="105" w:right="105"/>
        <w:contextualSpacing/>
        <w:rPr>
          <w:rFonts w:ascii="方正仿宋_GBK" w:hAnsi="方正仿宋_GBK" w:eastAsia="方正仿宋_GBK" w:cs="Times New Roman"/>
        </w:rPr>
      </w:pPr>
      <w:bookmarkStart w:id="90" w:name="_Toc172188060"/>
      <w:bookmarkStart w:id="91" w:name="_Toc173920565"/>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4"/>
        <w:spacing w:before="0" w:after="0" w:line="240" w:lineRule="auto"/>
        <w:ind w:left="105" w:right="105"/>
        <w:contextualSpacing/>
        <w:rPr>
          <w:rFonts w:ascii="方正仿宋_GBK" w:hAnsi="方正仿宋_GBK" w:eastAsia="方正仿宋_GBK" w:cs="Times New Roman"/>
        </w:rPr>
      </w:pPr>
      <w:bookmarkStart w:id="92" w:name="_Toc173920566"/>
      <w:bookmarkStart w:id="93" w:name="_Toc172188061"/>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4"/>
        <w:spacing w:before="0" w:after="0" w:line="240" w:lineRule="auto"/>
        <w:ind w:left="105" w:right="105"/>
        <w:contextualSpacing/>
        <w:rPr>
          <w:rFonts w:ascii="方正仿宋_GBK" w:hAnsi="方正仿宋_GBK" w:eastAsia="方正仿宋_GBK" w:cs="Times New Roman"/>
        </w:rPr>
      </w:pPr>
      <w:bookmarkStart w:id="94" w:name="_Toc172188063"/>
      <w:bookmarkStart w:id="95" w:name="_Toc173920568"/>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4"/>
        <w:spacing w:before="0" w:after="0" w:line="240" w:lineRule="auto"/>
        <w:ind w:left="105" w:right="105"/>
        <w:contextualSpacing/>
        <w:rPr>
          <w:rFonts w:ascii="方正仿宋_GBK" w:hAnsi="方正仿宋_GBK" w:eastAsia="方正仿宋_GBK" w:cs="Times New Roman"/>
        </w:rPr>
      </w:pPr>
      <w:bookmarkStart w:id="96" w:name="_Toc172188064"/>
      <w:bookmarkStart w:id="97" w:name="_Toc173920569"/>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4"/>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4"/>
        <w:spacing w:before="0" w:after="0" w:line="240" w:lineRule="auto"/>
        <w:ind w:left="105" w:right="105"/>
        <w:contextualSpacing/>
        <w:rPr>
          <w:rFonts w:ascii="方正仿宋_GBK" w:hAnsi="方正仿宋_GBK" w:eastAsia="方正仿宋_GBK" w:cs="Times New Roman"/>
        </w:rPr>
      </w:pPr>
      <w:bookmarkStart w:id="100" w:name="_Toc172188066"/>
      <w:bookmarkStart w:id="101" w:name="_Toc173920571"/>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3"/>
        <w:spacing w:before="0" w:after="0" w:line="240" w:lineRule="auto"/>
        <w:ind w:left="105" w:right="105"/>
        <w:contextualSpacing/>
        <w:rPr>
          <w:rFonts w:ascii="方正黑体_GBK" w:hAnsi="方正黑体_GBK" w:eastAsia="方正黑体_GBK" w:cs="Times New Roman"/>
        </w:rPr>
      </w:pPr>
      <w:bookmarkStart w:id="102" w:name="_Toc173920572"/>
      <w:bookmarkStart w:id="103" w:name="_Toc172188067"/>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4"/>
        <w:spacing w:before="0" w:after="0" w:line="240" w:lineRule="auto"/>
        <w:ind w:left="105" w:right="105"/>
        <w:contextualSpacing/>
        <w:rPr>
          <w:rFonts w:ascii="方正仿宋_GBK" w:hAnsi="方正仿宋_GBK" w:eastAsia="方正仿宋_GBK" w:cs="Times New Roman"/>
        </w:rPr>
      </w:pPr>
      <w:bookmarkStart w:id="104" w:name="_Toc173920573"/>
      <w:bookmarkStart w:id="105" w:name="_Toc172188068"/>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4"/>
        <w:spacing w:before="0" w:after="0" w:line="240" w:lineRule="auto"/>
        <w:ind w:left="105" w:right="105"/>
        <w:contextualSpacing/>
        <w:rPr>
          <w:rFonts w:ascii="方正仿宋_GBK" w:hAnsi="方正仿宋_GBK" w:eastAsia="方正仿宋_GBK" w:cs="Times New Roman"/>
        </w:rPr>
      </w:pPr>
      <w:bookmarkStart w:id="106" w:name="_Toc172188069"/>
      <w:bookmarkStart w:id="107" w:name="_Toc173920574"/>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4"/>
        <w:spacing w:before="0" w:after="0" w:line="240" w:lineRule="auto"/>
        <w:ind w:left="105" w:right="105"/>
        <w:contextualSpacing/>
        <w:rPr>
          <w:rFonts w:ascii="方正仿宋_GBK" w:hAnsi="方正仿宋_GBK" w:eastAsia="方正仿宋_GBK" w:cs="Times New Roman"/>
        </w:rPr>
      </w:pPr>
      <w:bookmarkStart w:id="108" w:name="_Toc173920575"/>
      <w:bookmarkStart w:id="109" w:name="_Toc172188070"/>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4"/>
        <w:spacing w:before="0" w:after="0" w:line="240" w:lineRule="auto"/>
        <w:ind w:left="105" w:right="105"/>
        <w:contextualSpacing/>
        <w:rPr>
          <w:rFonts w:ascii="方正仿宋_GBK" w:hAnsi="方正仿宋_GBK" w:eastAsia="方正仿宋_GBK" w:cs="Times New Roman"/>
        </w:rPr>
      </w:pPr>
      <w:bookmarkStart w:id="110" w:name="_Toc173920576"/>
      <w:bookmarkStart w:id="111" w:name="_Toc172188071"/>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4"/>
        <w:spacing w:before="0" w:after="0" w:line="240" w:lineRule="auto"/>
        <w:ind w:left="105" w:right="105"/>
        <w:contextualSpacing/>
        <w:rPr>
          <w:rFonts w:ascii="方正仿宋_GBK" w:hAnsi="方正仿宋_GBK" w:eastAsia="方正仿宋_GBK" w:cs="Times New Roman"/>
        </w:rPr>
      </w:pPr>
      <w:bookmarkStart w:id="112" w:name="_Toc173920577"/>
      <w:bookmarkStart w:id="113" w:name="_Toc172188072"/>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4"/>
        <w:spacing w:before="0" w:after="0" w:line="240" w:lineRule="auto"/>
        <w:ind w:left="105" w:right="105"/>
        <w:contextualSpacing/>
        <w:rPr>
          <w:rFonts w:ascii="方正仿宋_GBK" w:hAnsi="方正仿宋_GBK" w:eastAsia="方正仿宋_GBK" w:cs="Times New Roman"/>
        </w:rPr>
      </w:pPr>
      <w:bookmarkStart w:id="114" w:name="_Toc172188073"/>
      <w:bookmarkStart w:id="115" w:name="_Toc173920578"/>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4"/>
        <w:spacing w:before="0" w:after="0" w:line="240" w:lineRule="auto"/>
        <w:ind w:left="105" w:right="105"/>
        <w:contextualSpacing/>
        <w:rPr>
          <w:rFonts w:ascii="方正仿宋_GBK" w:hAnsi="方正仿宋_GBK" w:eastAsia="方正仿宋_GBK" w:cs="Times New Roman"/>
        </w:rPr>
      </w:pPr>
      <w:bookmarkStart w:id="116" w:name="_Toc172188074"/>
      <w:bookmarkStart w:id="117" w:name="_Toc173920579"/>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4.竞选</w:t>
      </w:r>
    </w:p>
    <w:p w14:paraId="3CCEF261">
      <w:pPr>
        <w:pStyle w:val="4"/>
        <w:spacing w:before="0" w:after="0" w:line="240" w:lineRule="auto"/>
        <w:ind w:left="105" w:right="105"/>
        <w:contextualSpacing/>
        <w:rPr>
          <w:rFonts w:ascii="方正仿宋_GBK" w:hAnsi="方正仿宋_GBK" w:eastAsia="方正仿宋_GBK" w:cs="Times New Roman"/>
        </w:rPr>
      </w:pPr>
      <w:bookmarkStart w:id="118" w:name="_Toc172188076"/>
      <w:bookmarkStart w:id="119" w:name="_Toc173920581"/>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4"/>
        <w:spacing w:before="0" w:after="0" w:line="240" w:lineRule="auto"/>
        <w:ind w:left="105" w:right="105"/>
        <w:contextualSpacing/>
        <w:rPr>
          <w:rFonts w:ascii="方正仿宋_GBK" w:hAnsi="方正仿宋_GBK" w:eastAsia="方正仿宋_GBK" w:cs="Times New Roman"/>
        </w:rPr>
      </w:pPr>
      <w:bookmarkStart w:id="120" w:name="_Toc173920582"/>
      <w:bookmarkStart w:id="121" w:name="_Toc172188077"/>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竞选人完成竞选文件的递交后，签署竞选文件签收表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4"/>
        <w:spacing w:before="0" w:after="0" w:line="240" w:lineRule="auto"/>
        <w:ind w:left="105" w:right="105"/>
        <w:contextualSpacing/>
        <w:rPr>
          <w:rFonts w:ascii="方正仿宋_GBK" w:hAnsi="方正仿宋_GBK" w:eastAsia="方正仿宋_GBK" w:cs="Times New Roman"/>
        </w:rPr>
      </w:pPr>
      <w:bookmarkStart w:id="122" w:name="_Toc172188078"/>
      <w:bookmarkStart w:id="123" w:name="_Toc173920583"/>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5.比选</w:t>
      </w:r>
    </w:p>
    <w:p w14:paraId="32F1B386">
      <w:pPr>
        <w:pStyle w:val="4"/>
        <w:spacing w:before="0" w:after="0" w:line="240" w:lineRule="auto"/>
        <w:ind w:left="105" w:right="105"/>
        <w:contextualSpacing/>
        <w:rPr>
          <w:rFonts w:ascii="方正仿宋_GBK" w:hAnsi="方正仿宋_GBK" w:eastAsia="方正仿宋_GBK" w:cs="Times New Roman"/>
        </w:rPr>
      </w:pPr>
      <w:bookmarkStart w:id="124" w:name="_Toc173920585"/>
      <w:bookmarkStart w:id="125" w:name="_Toc172188080"/>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4"/>
        <w:spacing w:before="0" w:after="0" w:line="240" w:lineRule="auto"/>
        <w:ind w:left="105" w:right="105"/>
        <w:contextualSpacing/>
        <w:rPr>
          <w:rFonts w:ascii="方正仿宋_GBK" w:hAnsi="方正仿宋_GBK" w:eastAsia="方正仿宋_GBK" w:cs="Times New Roman"/>
        </w:rPr>
      </w:pPr>
      <w:bookmarkStart w:id="126" w:name="_Toc172188081"/>
      <w:bookmarkStart w:id="127" w:name="_Toc173920586"/>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4"/>
        <w:spacing w:before="0" w:after="0" w:line="240" w:lineRule="auto"/>
        <w:ind w:left="105" w:right="105"/>
        <w:contextualSpacing/>
        <w:rPr>
          <w:rFonts w:ascii="方正仿宋_GBK" w:hAnsi="方正仿宋_GBK" w:eastAsia="方正仿宋_GBK" w:cs="Times New Roman"/>
        </w:rPr>
      </w:pPr>
      <w:bookmarkStart w:id="128" w:name="_Toc173920587"/>
      <w:bookmarkStart w:id="129" w:name="_Toc172188082"/>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0" w:name="_Toc173920588"/>
      <w:bookmarkStart w:id="131" w:name="_Toc172188083"/>
      <w:r>
        <w:rPr>
          <w:rFonts w:hint="eastAsia" w:ascii="方正黑体_GBK" w:hAnsi="方正黑体_GBK" w:eastAsia="方正黑体_GBK" w:cs="Times New Roman"/>
          <w:lang w:val="en-US" w:eastAsia="zh-CN"/>
        </w:rPr>
        <w:t>6.评审</w:t>
      </w:r>
      <w:bookmarkEnd w:id="130"/>
      <w:bookmarkEnd w:id="131"/>
    </w:p>
    <w:p w14:paraId="0949AF6E">
      <w:pPr>
        <w:pStyle w:val="4"/>
        <w:spacing w:before="0" w:after="0" w:line="240" w:lineRule="auto"/>
        <w:ind w:left="105" w:right="105"/>
        <w:contextualSpacing/>
        <w:rPr>
          <w:rFonts w:ascii="方正仿宋_GBK" w:hAnsi="方正仿宋_GBK" w:eastAsia="方正仿宋_GBK" w:cs="Times New Roman"/>
        </w:rPr>
      </w:pPr>
      <w:bookmarkStart w:id="132" w:name="_Toc172188084"/>
      <w:bookmarkStart w:id="133" w:name="_Toc173920589"/>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4"/>
        <w:spacing w:before="0" w:after="0" w:line="240" w:lineRule="auto"/>
        <w:ind w:left="105" w:right="105"/>
        <w:contextualSpacing/>
        <w:rPr>
          <w:rFonts w:ascii="方正仿宋_GBK" w:hAnsi="方正仿宋_GBK" w:eastAsia="方正仿宋_GBK" w:cs="Times New Roman"/>
        </w:rPr>
      </w:pPr>
      <w:bookmarkStart w:id="134" w:name="_Toc172188085"/>
      <w:bookmarkStart w:id="135" w:name="_Toc173920590"/>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4"/>
        <w:spacing w:before="0" w:after="0" w:line="240" w:lineRule="auto"/>
        <w:ind w:left="105" w:right="105"/>
        <w:contextualSpacing/>
        <w:rPr>
          <w:rFonts w:ascii="方正仿宋_GBK" w:hAnsi="方正仿宋_GBK" w:eastAsia="方正仿宋_GBK" w:cs="Times New Roman"/>
        </w:rPr>
      </w:pPr>
      <w:bookmarkStart w:id="136" w:name="_Toc173920591"/>
      <w:bookmarkStart w:id="137" w:name="_Toc172188086"/>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8" w:name="_Toc172188087"/>
      <w:bookmarkStart w:id="139" w:name="_Toc173920592"/>
      <w:r>
        <w:rPr>
          <w:rFonts w:hint="eastAsia" w:ascii="方正黑体_GBK" w:hAnsi="方正黑体_GBK" w:eastAsia="方正黑体_GBK" w:cs="Times New Roman"/>
          <w:lang w:val="en-US" w:eastAsia="zh-CN"/>
        </w:rPr>
        <w:t>7.合同授予</w:t>
      </w:r>
      <w:bookmarkEnd w:id="138"/>
      <w:bookmarkEnd w:id="139"/>
    </w:p>
    <w:p w14:paraId="6CDCA8A8">
      <w:pPr>
        <w:pStyle w:val="4"/>
        <w:spacing w:before="0" w:after="0" w:line="240" w:lineRule="auto"/>
        <w:ind w:left="105" w:right="105"/>
        <w:contextualSpacing/>
        <w:rPr>
          <w:rFonts w:ascii="方正仿宋_GBK" w:hAnsi="方正仿宋_GBK" w:eastAsia="方正仿宋_GBK" w:cs="Times New Roman"/>
        </w:rPr>
      </w:pPr>
      <w:bookmarkStart w:id="140" w:name="_Toc172188088"/>
      <w:bookmarkStart w:id="141" w:name="_Toc173920593"/>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4"/>
        <w:spacing w:before="0" w:after="0" w:line="240" w:lineRule="auto"/>
        <w:ind w:left="105" w:right="105"/>
        <w:contextualSpacing/>
        <w:rPr>
          <w:rFonts w:ascii="方正仿宋_GBK" w:hAnsi="方正仿宋_GBK" w:eastAsia="方正仿宋_GBK" w:cs="Times New Roman"/>
        </w:rPr>
      </w:pPr>
      <w:bookmarkStart w:id="142" w:name="_Toc173920594"/>
      <w:bookmarkStart w:id="143" w:name="_Toc172188089"/>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4"/>
        <w:spacing w:before="0" w:after="0" w:line="240" w:lineRule="auto"/>
        <w:ind w:left="105" w:right="105"/>
        <w:contextualSpacing/>
        <w:rPr>
          <w:rFonts w:ascii="方正仿宋_GBK" w:hAnsi="方正仿宋_GBK" w:eastAsia="方正仿宋_GBK" w:cs="Times New Roman"/>
        </w:rPr>
      </w:pPr>
      <w:bookmarkStart w:id="144" w:name="_Toc173920595"/>
      <w:bookmarkStart w:id="145" w:name="_Toc172188090"/>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4"/>
        <w:spacing w:before="0" w:after="0" w:line="240" w:lineRule="auto"/>
        <w:ind w:left="105" w:right="105"/>
        <w:contextualSpacing/>
        <w:rPr>
          <w:rFonts w:ascii="方正仿宋_GBK" w:hAnsi="方正仿宋_GBK" w:eastAsia="方正仿宋_GBK" w:cs="Times New Roman"/>
        </w:rPr>
      </w:pPr>
      <w:bookmarkStart w:id="146" w:name="_Toc173920596"/>
      <w:bookmarkStart w:id="147" w:name="_Toc172188091"/>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4"/>
        <w:spacing w:before="0" w:after="0" w:line="240" w:lineRule="auto"/>
        <w:ind w:left="105" w:right="105"/>
        <w:contextualSpacing/>
        <w:rPr>
          <w:rFonts w:ascii="方正仿宋_GBK" w:hAnsi="方正仿宋_GBK" w:eastAsia="方正仿宋_GBK" w:cs="Times New Roman"/>
        </w:rPr>
      </w:pPr>
      <w:bookmarkStart w:id="148" w:name="_Toc173920597"/>
      <w:bookmarkStart w:id="149" w:name="_Toc172188092"/>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4"/>
        <w:spacing w:before="0" w:after="0" w:line="240" w:lineRule="auto"/>
        <w:ind w:left="105" w:right="105"/>
        <w:contextualSpacing/>
        <w:rPr>
          <w:rFonts w:ascii="方正仿宋_GBK" w:hAnsi="方正仿宋_GBK" w:eastAsia="方正仿宋_GBK" w:cs="Times New Roman"/>
        </w:rPr>
      </w:pPr>
      <w:bookmarkStart w:id="150" w:name="_Toc173920598"/>
      <w:bookmarkStart w:id="151" w:name="_Toc172188093"/>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4"/>
        <w:spacing w:before="0" w:after="0" w:line="240" w:lineRule="auto"/>
        <w:ind w:left="105" w:right="105"/>
        <w:contextualSpacing/>
        <w:rPr>
          <w:rFonts w:ascii="方正仿宋_GBK" w:hAnsi="方正仿宋_GBK" w:eastAsia="方正仿宋_GBK" w:cs="Times New Roman"/>
        </w:rPr>
      </w:pPr>
      <w:bookmarkStart w:id="152" w:name="_Toc172188094"/>
      <w:bookmarkStart w:id="153" w:name="_Toc173920599"/>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4" w:name="_Toc173920600"/>
      <w:bookmarkStart w:id="155" w:name="_Toc172188095"/>
      <w:r>
        <w:rPr>
          <w:rFonts w:hint="eastAsia" w:ascii="方正黑体_GBK" w:hAnsi="方正黑体_GBK" w:eastAsia="方正黑体_GBK" w:cs="Times New Roman"/>
          <w:lang w:val="en-US" w:eastAsia="zh-CN"/>
        </w:rPr>
        <w:t>8.纪律和监督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6" w:name="_Toc172188096"/>
      <w:bookmarkStart w:id="157" w:name="_Toc173920601"/>
      <w:r>
        <w:rPr>
          <w:rFonts w:hint="eastAsia" w:ascii="方正黑体_GBK" w:hAnsi="方正黑体_GBK" w:eastAsia="方正黑体_GBK" w:cs="Times New Roman"/>
          <w:lang w:val="en-US" w:eastAsia="zh-CN"/>
        </w:rPr>
        <w:t>9.交易相关费用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8" w:name="_Toc173920602"/>
      <w:bookmarkStart w:id="159" w:name="_Toc172188097"/>
      <w:r>
        <w:rPr>
          <w:rFonts w:hint="eastAsia" w:ascii="方正黑体_GBK" w:hAnsi="方正黑体_GBK" w:eastAsia="方正黑体_GBK" w:cs="Times New Roman"/>
          <w:lang w:val="en-US" w:eastAsia="zh-CN"/>
        </w:rPr>
        <w:t>10.需要补充的其他内容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412D0E0B">
      <w:pPr>
        <w:ind w:right="105"/>
        <w:contextualSpacing/>
        <w:rPr>
          <w:rFonts w:ascii="方正仿宋_GBK" w:hAnsi="方正仿宋_GBK" w:eastAsia="方正仿宋_GBK" w:cs="Times New Roman"/>
        </w:rPr>
      </w:pPr>
    </w:p>
    <w:bookmarkEnd w:id="66"/>
    <w:bookmarkEnd w:id="67"/>
    <w:bookmarkEnd w:id="68"/>
    <w:p w14:paraId="4F59D63A">
      <w:pPr>
        <w:pStyle w:val="4"/>
        <w:spacing w:before="0" w:after="0" w:line="240" w:lineRule="auto"/>
        <w:ind w:left="105" w:right="105" w:firstLine="210" w:firstLineChars="100"/>
        <w:outlineLvl w:val="0"/>
        <w:rPr>
          <w:rFonts w:ascii="方正仿宋_GBK" w:hAnsi="方正仿宋_GBK" w:eastAsia="方正仿宋_GBK"/>
          <w:sz w:val="21"/>
          <w:szCs w:val="21"/>
        </w:rPr>
      </w:pPr>
      <w:bookmarkStart w:id="160" w:name="_Toc172188098"/>
      <w:bookmarkStart w:id="161" w:name="_Toc4041"/>
    </w:p>
    <w:p w14:paraId="467343A5">
      <w:pPr>
        <w:pStyle w:val="4"/>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4"/>
        <w:spacing w:before="0" w:after="0" w:line="240" w:lineRule="auto"/>
        <w:ind w:left="105" w:right="105" w:firstLine="103"/>
        <w:rPr>
          <w:rFonts w:ascii="方正仿宋_GBK" w:hAnsi="方正仿宋_GBK" w:eastAsia="方正仿宋_GBK"/>
          <w:sz w:val="21"/>
          <w:szCs w:val="21"/>
        </w:rPr>
      </w:pPr>
      <w:bookmarkStart w:id="162" w:name="_Toc492300621"/>
      <w:bookmarkStart w:id="163" w:name="_Toc172188099"/>
      <w:bookmarkStart w:id="164" w:name="_Toc14964"/>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369531565"/>
      <w:bookmarkStart w:id="166" w:name="_Toc361508634"/>
      <w:bookmarkStart w:id="167" w:name="_Toc247514000"/>
      <w:bookmarkStart w:id="168" w:name="_Toc352691521"/>
      <w:bookmarkStart w:id="169" w:name="_Toc152045576"/>
      <w:bookmarkStart w:id="170" w:name="_Toc384308260"/>
      <w:bookmarkStart w:id="171" w:name="_Toc247527601"/>
      <w:bookmarkStart w:id="172" w:name="_Toc144974544"/>
      <w:bookmarkStart w:id="173" w:name="_Toc300834996"/>
      <w:bookmarkStart w:id="174" w:name="_Toc152042352"/>
      <w:bookmarkStart w:id="175" w:name="_Toc23050"/>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247527603"/>
      <w:bookmarkStart w:id="177" w:name="_Toc361508636"/>
      <w:bookmarkStart w:id="178" w:name="_Toc384308262"/>
      <w:bookmarkStart w:id="179" w:name="_Toc369531567"/>
      <w:bookmarkStart w:id="180" w:name="_Toc152042354"/>
      <w:bookmarkStart w:id="181" w:name="_Toc352691523"/>
      <w:bookmarkStart w:id="182" w:name="_Toc300834998"/>
      <w:bookmarkStart w:id="183" w:name="_Toc6580"/>
      <w:bookmarkStart w:id="184" w:name="_Toc152045578"/>
      <w:bookmarkStart w:id="185" w:name="_Toc247514002"/>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4"/>
        <w:spacing w:before="0" w:after="0" w:line="240" w:lineRule="auto"/>
        <w:ind w:left="105" w:right="105" w:firstLine="103"/>
        <w:rPr>
          <w:rFonts w:ascii="方正仿宋_GBK" w:hAnsi="方正仿宋_GBK" w:eastAsia="方正仿宋_GBK"/>
          <w:sz w:val="21"/>
          <w:szCs w:val="21"/>
        </w:rPr>
      </w:pPr>
      <w:bookmarkStart w:id="186" w:name="_Toc172188100"/>
      <w:bookmarkStart w:id="187" w:name="_Toc492300622"/>
      <w:bookmarkStart w:id="188" w:name="_Toc5013"/>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300834999"/>
      <w:bookmarkStart w:id="190" w:name="_Toc3622"/>
      <w:bookmarkStart w:id="191" w:name="_Toc247514003"/>
      <w:bookmarkStart w:id="192" w:name="_Toc152042356"/>
      <w:bookmarkStart w:id="193" w:name="_Toc152045579"/>
      <w:bookmarkStart w:id="194" w:name="_Toc352691524"/>
      <w:bookmarkStart w:id="195" w:name="_Toc369531568"/>
      <w:bookmarkStart w:id="196" w:name="_Toc361508637"/>
      <w:bookmarkStart w:id="197" w:name="_Toc247527604"/>
      <w:bookmarkStart w:id="198" w:name="_Toc384308263"/>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r>
        <w:rPr>
          <w:rFonts w:hint="eastAsia" w:ascii="方正仿宋_GBK" w:hAnsi="方正仿宋_GBK" w:eastAsia="方正仿宋_GBK" w:cstheme="minorEastAsia"/>
          <w:color w:val="auto"/>
          <w:lang w:eastAsia="zh-CN"/>
        </w:rPr>
        <w:t>（若有）</w:t>
      </w:r>
      <w:r>
        <w:rPr>
          <w:rFonts w:hint="eastAsia" w:ascii="方正仿宋_GBK" w:hAnsi="方正仿宋_GBK" w:eastAsia="方正仿宋_GBK" w:cstheme="minorEastAsia"/>
          <w:color w:val="auto"/>
        </w:rPr>
        <w:t>。</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1"/>
      <w:bookmarkEnd w:id="199"/>
      <w:bookmarkStart w:id="200" w:name="_bookmark80"/>
      <w:bookmarkEnd w:id="200"/>
      <w:bookmarkStart w:id="201" w:name="_Toc27221"/>
      <w:bookmarkStart w:id="202" w:name="_Toc6135"/>
      <w:bookmarkStart w:id="203" w:name="_Toc49247698"/>
      <w:bookmarkStart w:id="204" w:name="_Toc152045600"/>
      <w:bookmarkStart w:id="205" w:name="_Toc379581361"/>
      <w:bookmarkStart w:id="206" w:name="_Toc144974567"/>
      <w:bookmarkStart w:id="207" w:name="_Toc152042377"/>
      <w:bookmarkStart w:id="208" w:name="_Toc330213998"/>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2"/>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评审办法(经评审的最低价法)</w:t>
      </w:r>
    </w:p>
    <w:p w14:paraId="45C23911">
      <w:pPr>
        <w:pStyle w:val="3"/>
        <w:spacing w:before="0" w:after="0" w:line="360" w:lineRule="auto"/>
        <w:jc w:val="center"/>
        <w:rPr>
          <w:rFonts w:hint="eastAsia" w:asciiTheme="minorEastAsia" w:hAnsiTheme="minorEastAsia" w:eastAsiaTheme="minorEastAsia"/>
          <w:color w:val="auto"/>
          <w:highlight w:val="none"/>
          <w:lang w:val="en-US" w:eastAsia="zh-CN"/>
        </w:rPr>
      </w:pPr>
      <w:bookmarkStart w:id="209" w:name="_Toc22828"/>
      <w:bookmarkStart w:id="210" w:name="_Toc17269"/>
      <w:r>
        <w:rPr>
          <w:rFonts w:hint="eastAsia" w:ascii="方正仿宋_GBK" w:hAnsi="方正仿宋_GBK" w:eastAsia="方正仿宋_GBK" w:cs="方正仿宋_GBK"/>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K" w:hAnsi="方正仿宋_GBK" w:eastAsia="方正仿宋_GBK" w:cs="方正仿宋_GBK"/>
          <w:snapToGrid/>
          <w:color w:val="auto"/>
          <w:spacing w:val="4"/>
          <w:kern w:val="0"/>
          <w:szCs w:val="21"/>
          <w:highlight w:val="none"/>
          <w:lang w:val="en-US" w:eastAsia="zh-CN" w:bidi="ar-SA"/>
        </w:rPr>
        <w:t>评审办法中的评审内容必须和</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须知中的对应内容一致，若</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default" w:ascii="Times New Roman" w:hAnsi="Times New Roman" w:eastAsia="方正仿宋_GBK" w:cs="Times New Roman"/>
                <w:szCs w:val="21"/>
              </w:rPr>
            </w:pPr>
            <w:bookmarkStart w:id="211" w:name="CQZH1_07"/>
            <w:r>
              <w:rPr>
                <w:rFonts w:hint="default" w:ascii="Times New Roman" w:hAnsi="Times New Roman" w:eastAsia="方正仿宋_GBK" w:cs="Times New Roman"/>
                <w:kern w:val="0"/>
              </w:rPr>
              <w:t xml:space="preserve"> </w:t>
            </w:r>
            <w:bookmarkStart w:id="212" w:name="CQZH1_FIRST_01"/>
            <w:r>
              <w:rPr>
                <w:rFonts w:hint="default" w:ascii="Times New Roman" w:hAnsi="Times New Roman" w:eastAsia="方正仿宋_GBK" w:cs="Times New Roman"/>
                <w:b/>
                <w:kern w:val="0"/>
                <w:szCs w:val="21"/>
              </w:rPr>
              <w:t>条款号</w:t>
            </w:r>
          </w:p>
        </w:tc>
        <w:tc>
          <w:tcPr>
            <w:tcW w:w="2628" w:type="dxa"/>
            <w:gridSpan w:val="2"/>
            <w:noWrap w:val="0"/>
            <w:vAlign w:val="top"/>
          </w:tcPr>
          <w:p w14:paraId="7B7B4DE2">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评审因素</w:t>
            </w:r>
          </w:p>
        </w:tc>
        <w:tc>
          <w:tcPr>
            <w:tcW w:w="5389" w:type="dxa"/>
            <w:noWrap w:val="0"/>
            <w:vAlign w:val="top"/>
          </w:tcPr>
          <w:p w14:paraId="19CF8A0E">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1</w:t>
            </w:r>
          </w:p>
        </w:tc>
        <w:tc>
          <w:tcPr>
            <w:tcW w:w="2628" w:type="dxa"/>
            <w:gridSpan w:val="2"/>
            <w:noWrap w:val="0"/>
            <w:vAlign w:val="center"/>
          </w:tcPr>
          <w:p w14:paraId="58064E76">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eastAsia="zh-CN"/>
              </w:rPr>
              <w:t>评审</w:t>
            </w:r>
            <w:r>
              <w:rPr>
                <w:rFonts w:hint="default" w:ascii="Times New Roman" w:hAnsi="Times New Roman" w:eastAsia="方正仿宋_GBK" w:cs="Times New Roman"/>
                <w:kern w:val="0"/>
                <w:szCs w:val="21"/>
              </w:rPr>
              <w:t>方法</w:t>
            </w:r>
          </w:p>
        </w:tc>
        <w:tc>
          <w:tcPr>
            <w:tcW w:w="5389" w:type="dxa"/>
            <w:noWrap w:val="0"/>
            <w:vAlign w:val="center"/>
          </w:tcPr>
          <w:p w14:paraId="76DB6D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b w:val="0"/>
                <w:bCs/>
                <w:kern w:val="0"/>
                <w:szCs w:val="21"/>
                <w:highlight w:val="none"/>
              </w:rPr>
              <w:t>本次比选采用经评审的最低价法，</w:t>
            </w:r>
            <w:r>
              <w:rPr>
                <w:rFonts w:hint="default" w:ascii="Times New Roman" w:hAnsi="Times New Roman" w:eastAsia="方正仿宋_GBK" w:cs="Times New Roman"/>
                <w:b w:val="0"/>
                <w:bCs/>
                <w:kern w:val="0"/>
                <w:szCs w:val="21"/>
                <w:highlight w:val="none"/>
                <w:lang w:eastAsia="zh-CN"/>
              </w:rPr>
              <w:t>评审小组</w:t>
            </w:r>
            <w:r>
              <w:rPr>
                <w:rFonts w:hint="default" w:ascii="Times New Roman" w:hAnsi="Times New Roman" w:eastAsia="方正仿宋_GBK" w:cs="Times New Roman"/>
                <w:b w:val="0"/>
                <w:bCs/>
                <w:kern w:val="0"/>
                <w:szCs w:val="21"/>
                <w:highlight w:val="none"/>
              </w:rPr>
              <w:t>按照本章第2.1款进行报价排序，按照本章第2.2款进行符合性审查，符合性审查合格的竞选人按</w:t>
            </w:r>
            <w:r>
              <w:rPr>
                <w:rFonts w:hint="default" w:ascii="Times New Roman" w:hAnsi="Times New Roman" w:eastAsia="方正仿宋_GBK" w:cs="Times New Roman"/>
                <w:b w:val="0"/>
                <w:bCs/>
                <w:kern w:val="0"/>
                <w:szCs w:val="21"/>
                <w:highlight w:val="none"/>
                <w:lang w:eastAsia="zh-CN"/>
              </w:rPr>
              <w:t>经评审的报价</w:t>
            </w:r>
            <w:r>
              <w:rPr>
                <w:rFonts w:hint="default" w:ascii="Times New Roman" w:hAnsi="Times New Roman" w:eastAsia="方正仿宋_GBK" w:cs="Times New Roman"/>
                <w:b w:val="0"/>
                <w:bCs/>
                <w:kern w:val="0"/>
                <w:szCs w:val="21"/>
                <w:highlight w:val="none"/>
              </w:rPr>
              <w:t>由低到高推荐中选候选人或根据比选人授权直接确定</w:t>
            </w:r>
            <w:r>
              <w:rPr>
                <w:rFonts w:hint="default" w:ascii="Times New Roman" w:hAnsi="Times New Roman" w:eastAsia="方正仿宋_GBK" w:cs="Times New Roman"/>
                <w:b w:val="0"/>
                <w:bCs/>
                <w:kern w:val="0"/>
                <w:szCs w:val="21"/>
                <w:highlight w:val="none"/>
                <w:lang w:eastAsia="zh-CN"/>
              </w:rPr>
              <w:t>中选</w:t>
            </w:r>
            <w:r>
              <w:rPr>
                <w:rFonts w:hint="default" w:ascii="Times New Roman" w:hAnsi="Times New Roman" w:eastAsia="方正仿宋_GBK" w:cs="Times New Roman"/>
                <w:b w:val="0"/>
                <w:bCs/>
                <w:kern w:val="0"/>
                <w:szCs w:val="21"/>
                <w:highlight w:val="none"/>
              </w:rPr>
              <w:t>人。</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2.1</w:t>
            </w:r>
          </w:p>
        </w:tc>
        <w:tc>
          <w:tcPr>
            <w:tcW w:w="2628" w:type="dxa"/>
            <w:gridSpan w:val="2"/>
            <w:noWrap w:val="0"/>
            <w:vAlign w:val="center"/>
          </w:tcPr>
          <w:p w14:paraId="7FC9A36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报价顺序</w:t>
            </w:r>
          </w:p>
        </w:tc>
        <w:tc>
          <w:tcPr>
            <w:tcW w:w="5389" w:type="dxa"/>
            <w:noWrap w:val="0"/>
            <w:vAlign w:val="center"/>
          </w:tcPr>
          <w:p w14:paraId="594516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2.2</w:t>
            </w:r>
          </w:p>
        </w:tc>
        <w:tc>
          <w:tcPr>
            <w:tcW w:w="2628" w:type="dxa"/>
            <w:gridSpan w:val="2"/>
            <w:noWrap w:val="0"/>
            <w:vAlign w:val="center"/>
          </w:tcPr>
          <w:p w14:paraId="587CB357">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符合性审查</w:t>
            </w:r>
          </w:p>
        </w:tc>
        <w:tc>
          <w:tcPr>
            <w:tcW w:w="5389" w:type="dxa"/>
            <w:noWrap w:val="0"/>
            <w:vAlign w:val="center"/>
          </w:tcPr>
          <w:p w14:paraId="6CA7EF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lang w:eastAsia="zh-CN"/>
              </w:rPr>
              <w:t>对符合要求的竞选人</w:t>
            </w:r>
            <w:r>
              <w:rPr>
                <w:rFonts w:hint="default" w:ascii="Times New Roman" w:hAnsi="Times New Roman" w:eastAsia="方正仿宋_GBK" w:cs="Times New Roman"/>
                <w:spacing w:val="4"/>
                <w:kern w:val="0"/>
                <w:szCs w:val="21"/>
                <w:highlight w:val="none"/>
              </w:rPr>
              <w:t>进行符合性审查。符合性审查内容：形式评审、资格评审、响应性评审。</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2.2.2</w:t>
            </w:r>
          </w:p>
        </w:tc>
        <w:tc>
          <w:tcPr>
            <w:tcW w:w="482" w:type="dxa"/>
            <w:vMerge w:val="restart"/>
            <w:noWrap w:val="0"/>
            <w:vAlign w:val="center"/>
          </w:tcPr>
          <w:p w14:paraId="51CB1330">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形式评审</w:t>
            </w:r>
          </w:p>
        </w:tc>
        <w:tc>
          <w:tcPr>
            <w:tcW w:w="2628" w:type="dxa"/>
            <w:gridSpan w:val="2"/>
            <w:noWrap w:val="0"/>
            <w:vAlign w:val="center"/>
          </w:tcPr>
          <w:p w14:paraId="5B39C3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竞选人名称</w:t>
            </w:r>
          </w:p>
        </w:tc>
        <w:tc>
          <w:tcPr>
            <w:tcW w:w="5389" w:type="dxa"/>
            <w:noWrap w:val="0"/>
            <w:vAlign w:val="center"/>
          </w:tcPr>
          <w:p w14:paraId="686D880A">
            <w:pPr>
              <w:keepNext w:val="0"/>
              <w:keepLines w:val="0"/>
              <w:pageBreakBefore w:val="0"/>
              <w:wordWrap/>
              <w:overflowPunct/>
              <w:topLinePunct w:val="0"/>
              <w:bidi w:val="0"/>
              <w:snapToGrid w:val="0"/>
              <w:spacing w:line="240" w:lineRule="auto"/>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与营业执照、资质证书一致</w:t>
            </w:r>
            <w:r>
              <w:rPr>
                <w:rFonts w:hint="default" w:ascii="Times New Roman" w:hAnsi="Times New Roman" w:eastAsia="方正仿宋_GBK" w:cs="Times New Roman"/>
                <w:szCs w:val="21"/>
                <w:highlight w:val="none"/>
                <w:lang w:eastAsia="zh-CN"/>
              </w:rPr>
              <w:t>。</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142AEDC">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320AF6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竞选函签字盖章</w:t>
            </w:r>
          </w:p>
        </w:tc>
        <w:tc>
          <w:tcPr>
            <w:tcW w:w="5389" w:type="dxa"/>
            <w:noWrap w:val="0"/>
            <w:vAlign w:val="top"/>
          </w:tcPr>
          <w:p w14:paraId="082D7D35">
            <w:pPr>
              <w:keepNext w:val="0"/>
              <w:keepLines w:val="0"/>
              <w:pageBreakBefore w:val="0"/>
              <w:wordWrap/>
              <w:overflowPunct/>
              <w:topLinePunct w:val="0"/>
              <w:bidi w:val="0"/>
              <w:snapToGrid w:val="0"/>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highlight w:val="none"/>
              </w:rPr>
              <w:t>法定代表人或其委托代理人签字或盖章、单位章符合要求</w:t>
            </w:r>
            <w:r>
              <w:rPr>
                <w:rFonts w:hint="default" w:ascii="Times New Roman" w:hAnsi="Times New Roman" w:eastAsia="方正仿宋_GBK" w:cs="Times New Roman"/>
                <w:szCs w:val="21"/>
                <w:highlight w:val="none"/>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90075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14F57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竞选文件格式</w:t>
            </w:r>
          </w:p>
        </w:tc>
        <w:tc>
          <w:tcPr>
            <w:tcW w:w="5389" w:type="dxa"/>
            <w:noWrap w:val="0"/>
            <w:vAlign w:val="top"/>
          </w:tcPr>
          <w:p w14:paraId="459652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符合第</w:t>
            </w:r>
            <w:r>
              <w:rPr>
                <w:rFonts w:hint="default" w:ascii="Times New Roman" w:hAnsi="Times New Roman" w:eastAsia="方正仿宋_GBK" w:cs="Times New Roman"/>
                <w:szCs w:val="21"/>
                <w:highlight w:val="none"/>
                <w:lang w:eastAsia="zh-CN"/>
              </w:rPr>
              <w:t>五</w:t>
            </w:r>
            <w:r>
              <w:rPr>
                <w:rFonts w:hint="default" w:ascii="Times New Roman" w:hAnsi="Times New Roman" w:eastAsia="方正仿宋_GBK" w:cs="Times New Roman"/>
                <w:szCs w:val="21"/>
                <w:highlight w:val="none"/>
              </w:rPr>
              <w:t>章“竞选文件格式”的要求，字迹清晰可辨。</w:t>
            </w:r>
          </w:p>
          <w:p w14:paraId="6A894E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1.竞选函附录的所有数据均符合竞选文件的规定；</w:t>
            </w:r>
          </w:p>
          <w:p w14:paraId="2F5AD3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2.竞选文件附表齐全完整，内容均按规定填写；</w:t>
            </w:r>
          </w:p>
          <w:p w14:paraId="3675EF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3.按规定提供了</w:t>
            </w:r>
            <w:r>
              <w:rPr>
                <w:rFonts w:hint="default" w:ascii="Times New Roman" w:hAnsi="Times New Roman" w:eastAsia="方正仿宋_GBK" w:cs="Times New Roman"/>
                <w:szCs w:val="21"/>
                <w:highlight w:val="none"/>
                <w:lang w:eastAsia="zh-CN"/>
              </w:rPr>
              <w:t>资质及业绩等相关</w:t>
            </w:r>
            <w:r>
              <w:rPr>
                <w:rFonts w:hint="default" w:ascii="Times New Roman" w:hAnsi="Times New Roman" w:eastAsia="方正仿宋_GBK" w:cs="Times New Roman"/>
                <w:szCs w:val="21"/>
                <w:highlight w:val="none"/>
              </w:rPr>
              <w:t>证件复印件，证件清晰可辨、有效；</w:t>
            </w:r>
          </w:p>
          <w:p w14:paraId="2E0E36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BFB92E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465138E6">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报价唯一</w:t>
            </w:r>
          </w:p>
        </w:tc>
        <w:tc>
          <w:tcPr>
            <w:tcW w:w="5389" w:type="dxa"/>
            <w:noWrap w:val="0"/>
            <w:vAlign w:val="center"/>
          </w:tcPr>
          <w:p w14:paraId="712EE2E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AE9F84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FD14C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竞选文件的签署</w:t>
            </w:r>
          </w:p>
        </w:tc>
        <w:tc>
          <w:tcPr>
            <w:tcW w:w="5389" w:type="dxa"/>
            <w:noWrap w:val="0"/>
            <w:vAlign w:val="top"/>
          </w:tcPr>
          <w:p w14:paraId="66BA9C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3AA467DB">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CF31CB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委托代理人</w:t>
            </w:r>
          </w:p>
        </w:tc>
        <w:tc>
          <w:tcPr>
            <w:tcW w:w="5389" w:type="dxa"/>
            <w:noWrap w:val="0"/>
            <w:vAlign w:val="top"/>
          </w:tcPr>
          <w:p w14:paraId="652AC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2.2.3</w:t>
            </w:r>
          </w:p>
        </w:tc>
        <w:tc>
          <w:tcPr>
            <w:tcW w:w="482" w:type="dxa"/>
            <w:vMerge w:val="restart"/>
            <w:noWrap w:val="0"/>
            <w:vAlign w:val="center"/>
          </w:tcPr>
          <w:p w14:paraId="2806CB11">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资格评审</w:t>
            </w:r>
          </w:p>
        </w:tc>
        <w:tc>
          <w:tcPr>
            <w:tcW w:w="2628" w:type="dxa"/>
            <w:gridSpan w:val="2"/>
            <w:noWrap w:val="0"/>
            <w:vAlign w:val="center"/>
          </w:tcPr>
          <w:p w14:paraId="22B9E7D5">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营业执照</w:t>
            </w:r>
          </w:p>
        </w:tc>
        <w:tc>
          <w:tcPr>
            <w:tcW w:w="5389" w:type="dxa"/>
            <w:noWrap w:val="0"/>
            <w:vAlign w:val="top"/>
          </w:tcPr>
          <w:p w14:paraId="1ED7328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B0103A">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761D1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资质等级</w:t>
            </w:r>
          </w:p>
        </w:tc>
        <w:tc>
          <w:tcPr>
            <w:tcW w:w="5389" w:type="dxa"/>
            <w:noWrap w:val="0"/>
            <w:vAlign w:val="top"/>
          </w:tcPr>
          <w:p w14:paraId="4560889A">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7890593">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9285AC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信誉要求</w:t>
            </w:r>
          </w:p>
        </w:tc>
        <w:tc>
          <w:tcPr>
            <w:tcW w:w="5389" w:type="dxa"/>
            <w:noWrap w:val="0"/>
            <w:vAlign w:val="center"/>
          </w:tcPr>
          <w:p w14:paraId="04B54AB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29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D71249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B03FA8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90E66E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lang w:eastAsia="zh-CN"/>
              </w:rPr>
              <w:t>项目人员配置</w:t>
            </w:r>
          </w:p>
        </w:tc>
        <w:tc>
          <w:tcPr>
            <w:tcW w:w="5389" w:type="dxa"/>
            <w:noWrap w:val="0"/>
            <w:vAlign w:val="center"/>
          </w:tcPr>
          <w:p w14:paraId="7F09BF64">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符合第五章</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商务部分</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第6项规定。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7E55F5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EED52D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452EB2C">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其它要求</w:t>
            </w:r>
          </w:p>
        </w:tc>
        <w:tc>
          <w:tcPr>
            <w:tcW w:w="5389" w:type="dxa"/>
            <w:noWrap w:val="0"/>
            <w:vAlign w:val="top"/>
          </w:tcPr>
          <w:p w14:paraId="24A8744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.4</w:t>
            </w:r>
          </w:p>
        </w:tc>
        <w:tc>
          <w:tcPr>
            <w:tcW w:w="482" w:type="dxa"/>
            <w:vMerge w:val="restart"/>
            <w:noWrap w:val="0"/>
            <w:vAlign w:val="center"/>
          </w:tcPr>
          <w:p w14:paraId="5FC25C4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响应性评审</w:t>
            </w:r>
          </w:p>
        </w:tc>
        <w:tc>
          <w:tcPr>
            <w:tcW w:w="2628" w:type="dxa"/>
            <w:gridSpan w:val="2"/>
            <w:noWrap w:val="0"/>
            <w:vAlign w:val="center"/>
          </w:tcPr>
          <w:p w14:paraId="7EC7D6EA">
            <w:pPr>
              <w:spacing w:line="5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最高限价</w:t>
            </w:r>
          </w:p>
        </w:tc>
        <w:tc>
          <w:tcPr>
            <w:tcW w:w="5389" w:type="dxa"/>
            <w:noWrap w:val="0"/>
            <w:vAlign w:val="top"/>
          </w:tcPr>
          <w:p w14:paraId="6084DD7D">
            <w:pPr>
              <w:spacing w:line="5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竞选</w:t>
            </w:r>
            <w:r>
              <w:rPr>
                <w:rFonts w:hint="default" w:ascii="Times New Roman" w:hAnsi="Times New Roman" w:eastAsia="方正仿宋_GBK" w:cs="Times New Roman"/>
                <w:szCs w:val="21"/>
                <w:highlight w:val="none"/>
                <w:lang w:eastAsia="zh-CN"/>
              </w:rPr>
              <w:t>报价</w:t>
            </w:r>
            <w:r>
              <w:rPr>
                <w:rFonts w:hint="default" w:ascii="Times New Roman" w:hAnsi="Times New Roman" w:eastAsia="方正仿宋_GBK" w:cs="Times New Roman"/>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0271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CDA3D63">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竞选内容</w:t>
            </w:r>
          </w:p>
        </w:tc>
        <w:tc>
          <w:tcPr>
            <w:tcW w:w="5389" w:type="dxa"/>
            <w:noWrap w:val="0"/>
            <w:vAlign w:val="top"/>
          </w:tcPr>
          <w:p w14:paraId="2F8246CE">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F46C95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1F7215">
            <w:pPr>
              <w:spacing w:line="500" w:lineRule="exac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工期或服务期</w:t>
            </w:r>
          </w:p>
        </w:tc>
        <w:tc>
          <w:tcPr>
            <w:tcW w:w="5389" w:type="dxa"/>
            <w:noWrap w:val="0"/>
            <w:vAlign w:val="top"/>
          </w:tcPr>
          <w:p w14:paraId="0A9A17AB">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ECB22F">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C2B4CC9">
            <w:pPr>
              <w:spacing w:line="50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技术性能指标</w:t>
            </w:r>
          </w:p>
        </w:tc>
        <w:tc>
          <w:tcPr>
            <w:tcW w:w="5389" w:type="dxa"/>
            <w:noWrap w:val="0"/>
            <w:vAlign w:val="top"/>
          </w:tcPr>
          <w:p w14:paraId="119A72D0">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30C8AB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6408368">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竞选保证金</w:t>
            </w:r>
          </w:p>
        </w:tc>
        <w:tc>
          <w:tcPr>
            <w:tcW w:w="5389" w:type="dxa"/>
            <w:noWrap w:val="0"/>
            <w:vAlign w:val="top"/>
          </w:tcPr>
          <w:p w14:paraId="56FCE95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8339AE">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F3E8BBD">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权利义务</w:t>
            </w:r>
          </w:p>
        </w:tc>
        <w:tc>
          <w:tcPr>
            <w:tcW w:w="5389" w:type="dxa"/>
            <w:noWrap w:val="0"/>
            <w:vAlign w:val="top"/>
          </w:tcPr>
          <w:p w14:paraId="1886387C">
            <w:pPr>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符合第四章“合同条款及格式”规定，竞选文件不应附有比选人不能接受的条件</w:t>
            </w:r>
            <w:r>
              <w:rPr>
                <w:rFonts w:hint="default" w:ascii="Times New Roman" w:hAnsi="Times New Roman" w:eastAsia="方正仿宋_GBK" w:cs="Times New Roman"/>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6D8B16F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0E0D731">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实质性要求</w:t>
            </w:r>
          </w:p>
        </w:tc>
        <w:tc>
          <w:tcPr>
            <w:tcW w:w="5389" w:type="dxa"/>
            <w:noWrap w:val="0"/>
            <w:vAlign w:val="top"/>
          </w:tcPr>
          <w:p w14:paraId="290C1689">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3</w:t>
            </w:r>
          </w:p>
        </w:tc>
        <w:tc>
          <w:tcPr>
            <w:tcW w:w="1349" w:type="dxa"/>
            <w:gridSpan w:val="2"/>
            <w:noWrap w:val="0"/>
            <w:vAlign w:val="center"/>
          </w:tcPr>
          <w:p w14:paraId="4C9981B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评</w:t>
            </w:r>
          </w:p>
          <w:p w14:paraId="3D3F815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标</w:t>
            </w:r>
          </w:p>
          <w:p w14:paraId="28FA3BD4">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程</w:t>
            </w:r>
          </w:p>
          <w:p w14:paraId="5D9C733F">
            <w:pPr>
              <w:spacing w:line="50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序</w:t>
            </w:r>
          </w:p>
        </w:tc>
        <w:tc>
          <w:tcPr>
            <w:tcW w:w="7150" w:type="dxa"/>
            <w:gridSpan w:val="2"/>
            <w:noWrap w:val="0"/>
            <w:vAlign w:val="top"/>
          </w:tcPr>
          <w:p w14:paraId="3796BDA9">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1.对</w:t>
            </w:r>
            <w:r>
              <w:rPr>
                <w:rFonts w:hint="default" w:ascii="Times New Roman" w:hAnsi="Times New Roman" w:eastAsia="方正仿宋_GBK" w:cs="Times New Roman"/>
                <w:kern w:val="0"/>
                <w:szCs w:val="21"/>
                <w:highlight w:val="none"/>
                <w:lang w:eastAsia="zh-CN"/>
              </w:rPr>
              <w:t>满足条件的竞选人进行符合性审查</w:t>
            </w:r>
            <w:r>
              <w:rPr>
                <w:rFonts w:hint="default" w:ascii="Times New Roman" w:hAnsi="Times New Roman" w:eastAsia="方正仿宋_GBK" w:cs="Times New Roman"/>
                <w:kern w:val="0"/>
                <w:szCs w:val="21"/>
                <w:highlight w:val="none"/>
              </w:rPr>
              <w:t>。</w:t>
            </w:r>
          </w:p>
          <w:p w14:paraId="6715F39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rPr>
              <w:t>2.</w:t>
            </w:r>
            <w:r>
              <w:rPr>
                <w:rFonts w:hint="default" w:ascii="Times New Roman" w:hAnsi="Times New Roman" w:eastAsia="方正仿宋_GBK" w:cs="Times New Roman"/>
                <w:kern w:val="0"/>
                <w:szCs w:val="21"/>
                <w:highlight w:val="none"/>
                <w:lang w:eastAsia="zh-CN"/>
              </w:rPr>
              <w:t>对通过符合性审查的竞选人进行报价评审。经评审的报价 = 竞选人含税报价 − 比选人可抵扣进项税额。</w:t>
            </w:r>
          </w:p>
          <w:p w14:paraId="1911CAB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eastAsia="zh-CN"/>
              </w:rPr>
            </w:pPr>
            <w:r>
              <w:rPr>
                <w:rFonts w:hint="default" w:ascii="Times New Roman" w:hAnsi="Times New Roman" w:eastAsia="方正仿宋_GBK" w:cs="Times New Roman"/>
                <w:spacing w:val="4"/>
                <w:kern w:val="0"/>
                <w:szCs w:val="21"/>
                <w:highlight w:val="none"/>
                <w:lang w:val="en-US" w:eastAsia="zh-CN"/>
              </w:rPr>
              <w:t>2.1</w:t>
            </w:r>
            <w:r>
              <w:rPr>
                <w:rFonts w:hint="default" w:ascii="Times New Roman" w:hAnsi="Times New Roman" w:eastAsia="方正仿宋_GBK" w:cs="Times New Roman"/>
                <w:spacing w:val="4"/>
                <w:kern w:val="0"/>
                <w:szCs w:val="21"/>
                <w:highlight w:val="none"/>
              </w:rPr>
              <w:t>竞选人应在报价文件中明确拟提供的发票类型（增值税专用发票</w:t>
            </w:r>
            <w:r>
              <w:rPr>
                <w:rFonts w:hint="default" w:ascii="Times New Roman" w:hAnsi="Times New Roman" w:eastAsia="方正仿宋_GBK" w:cs="Times New Roman"/>
                <w:spacing w:val="4"/>
                <w:kern w:val="0"/>
                <w:szCs w:val="21"/>
                <w:highlight w:val="none"/>
                <w:lang w:val="en-US" w:eastAsia="zh-CN"/>
              </w:rPr>
              <w:t>/</w:t>
            </w:r>
            <w:r>
              <w:rPr>
                <w:rFonts w:hint="default" w:ascii="Times New Roman" w:hAnsi="Times New Roman" w:eastAsia="方正仿宋_GBK" w:cs="Times New Roman"/>
                <w:spacing w:val="4"/>
                <w:kern w:val="0"/>
                <w:szCs w:val="21"/>
                <w:highlight w:val="none"/>
              </w:rPr>
              <w:t>普通发票）及适用税率</w:t>
            </w:r>
            <w:r>
              <w:rPr>
                <w:rFonts w:hint="default" w:ascii="Times New Roman" w:hAnsi="Times New Roman" w:eastAsia="方正仿宋_GBK" w:cs="Times New Roman"/>
                <w:spacing w:val="4"/>
                <w:kern w:val="0"/>
                <w:szCs w:val="21"/>
                <w:highlight w:val="none"/>
                <w:lang w:eastAsia="zh-CN"/>
              </w:rPr>
              <w:t>。</w:t>
            </w:r>
          </w:p>
          <w:p w14:paraId="7B37EC9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2.2</w:t>
            </w:r>
            <w:r>
              <w:rPr>
                <w:rFonts w:hint="default" w:ascii="Times New Roman" w:hAnsi="Times New Roman" w:eastAsia="方正仿宋_GBK" w:cs="Times New Roman"/>
                <w:spacing w:val="4"/>
                <w:kern w:val="0"/>
                <w:szCs w:val="21"/>
                <w:highlight w:val="none"/>
              </w:rPr>
              <w:t>提供增值税专用发票的，可抵扣进项税额按其承诺税率计算；</w:t>
            </w:r>
          </w:p>
          <w:p w14:paraId="3CA6A3B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2.3</w:t>
            </w:r>
            <w:r>
              <w:rPr>
                <w:rFonts w:hint="default" w:ascii="Times New Roman" w:hAnsi="Times New Roman" w:eastAsia="方正仿宋_GBK" w:cs="Times New Roman"/>
                <w:spacing w:val="4"/>
                <w:kern w:val="0"/>
                <w:szCs w:val="21"/>
                <w:highlight w:val="none"/>
              </w:rPr>
              <w:t>提供增值税普通发票或其他不能抵扣进项税发票的，可抵扣进项税额为</w:t>
            </w:r>
            <w:r>
              <w:rPr>
                <w:rFonts w:hint="default" w:ascii="Times New Roman" w:hAnsi="Times New Roman" w:eastAsia="方正仿宋_GBK" w:cs="Times New Roman"/>
                <w:spacing w:val="4"/>
                <w:kern w:val="0"/>
                <w:szCs w:val="21"/>
                <w:highlight w:val="none"/>
                <w:lang w:val="en-US" w:eastAsia="zh-CN"/>
              </w:rPr>
              <w:t>0</w:t>
            </w:r>
            <w:r>
              <w:rPr>
                <w:rFonts w:hint="default" w:ascii="Times New Roman" w:hAnsi="Times New Roman" w:eastAsia="方正仿宋_GBK" w:cs="Times New Roman"/>
                <w:spacing w:val="4"/>
                <w:kern w:val="0"/>
                <w:szCs w:val="21"/>
                <w:highlight w:val="none"/>
              </w:rPr>
              <w:t>；</w:t>
            </w:r>
          </w:p>
          <w:p w14:paraId="1FBF58C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2.4</w:t>
            </w:r>
            <w:r>
              <w:rPr>
                <w:rFonts w:hint="default" w:ascii="Times New Roman" w:hAnsi="Times New Roman" w:eastAsia="方正仿宋_GBK" w:cs="Times New Roman"/>
                <w:spacing w:val="4"/>
                <w:kern w:val="0"/>
                <w:szCs w:val="21"/>
                <w:highlight w:val="none"/>
              </w:rPr>
              <w:t>按经评审的报价由低到高排序，推荐经评审的报价最低的为第一中选候选人；</w:t>
            </w:r>
          </w:p>
          <w:p w14:paraId="4B75A83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val="en-US" w:eastAsia="zh-CN"/>
              </w:rPr>
            </w:pPr>
            <w:r>
              <w:rPr>
                <w:rFonts w:hint="default" w:ascii="Times New Roman" w:hAnsi="Times New Roman" w:eastAsia="方正仿宋_GBK" w:cs="Times New Roman"/>
                <w:spacing w:val="4"/>
                <w:kern w:val="0"/>
                <w:szCs w:val="21"/>
                <w:highlight w:val="none"/>
                <w:lang w:val="en-US" w:eastAsia="zh-CN"/>
              </w:rPr>
              <w:t>2.5</w:t>
            </w:r>
            <w:r>
              <w:rPr>
                <w:rFonts w:hint="default" w:ascii="Times New Roman" w:hAnsi="Times New Roman" w:eastAsia="方正仿宋_GBK" w:cs="Times New Roman"/>
                <w:spacing w:val="4"/>
                <w:kern w:val="0"/>
                <w:szCs w:val="21"/>
                <w:highlight w:val="none"/>
              </w:rPr>
              <w:t>合同金额按含税报价执行，发票类型及税率以竞选人承诺为准。</w:t>
            </w:r>
          </w:p>
          <w:p w14:paraId="79DA7643">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spacing w:val="4"/>
                <w:kern w:val="0"/>
                <w:szCs w:val="21"/>
                <w:highlight w:val="none"/>
              </w:rPr>
              <w:t>若上述程序未能评出三名中选候选人</w:t>
            </w:r>
            <w:r>
              <w:rPr>
                <w:rFonts w:hint="default" w:ascii="Times New Roman" w:hAnsi="Times New Roman" w:eastAsia="方正仿宋_GBK" w:cs="Times New Roman"/>
                <w:kern w:val="0"/>
                <w:szCs w:val="21"/>
                <w:highlight w:val="none"/>
              </w:rPr>
              <w:t>，则</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对剩余竞选文件继续按上述第2条进行评审，直至评出三名中选候选人，或者评审完所有竞选文件。</w:t>
            </w:r>
          </w:p>
          <w:p w14:paraId="143B61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4.</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kern w:val="0"/>
                <w:szCs w:val="21"/>
                <w:highlight w:val="none"/>
              </w:rPr>
              <w:t>因</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作否决</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处理，导致有效竞选人不足三个的，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应当否决所有</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。但是有效竞选人的经济、技术等指标仍然具有市场竞争力，并满足竞选文件要求的，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可以继续</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3.4</w:t>
            </w:r>
          </w:p>
        </w:tc>
        <w:tc>
          <w:tcPr>
            <w:tcW w:w="1349" w:type="dxa"/>
            <w:gridSpan w:val="2"/>
            <w:noWrap w:val="0"/>
            <w:vAlign w:val="center"/>
          </w:tcPr>
          <w:p w14:paraId="56C7FBF7">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lang w:eastAsia="zh-CN"/>
              </w:rPr>
              <w:t>评审</w:t>
            </w:r>
            <w:r>
              <w:rPr>
                <w:rFonts w:hint="default" w:ascii="Times New Roman" w:hAnsi="Times New Roman" w:eastAsia="方正仿宋_GBK" w:cs="Times New Roman"/>
              </w:rPr>
              <w:t>结果</w:t>
            </w:r>
          </w:p>
        </w:tc>
        <w:tc>
          <w:tcPr>
            <w:tcW w:w="7150" w:type="dxa"/>
            <w:gridSpan w:val="2"/>
            <w:noWrap w:val="0"/>
            <w:vAlign w:val="center"/>
          </w:tcPr>
          <w:p w14:paraId="6C7D6A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3.4.1 除第二章“竞选人须知”前附表授权直接确定</w:t>
            </w:r>
            <w:r>
              <w:rPr>
                <w:rFonts w:hint="default" w:ascii="Times New Roman" w:hAnsi="Times New Roman" w:eastAsia="方正仿宋_GBK" w:cs="Times New Roman"/>
                <w:kern w:val="0"/>
                <w:szCs w:val="21"/>
                <w:highlight w:val="none"/>
                <w:lang w:eastAsia="zh-CN"/>
              </w:rPr>
              <w:t>中选</w:t>
            </w:r>
            <w:r>
              <w:rPr>
                <w:rFonts w:hint="default" w:ascii="Times New Roman" w:hAnsi="Times New Roman" w:eastAsia="方正仿宋_GBK" w:cs="Times New Roman"/>
                <w:kern w:val="0"/>
                <w:szCs w:val="21"/>
                <w:highlight w:val="none"/>
              </w:rPr>
              <w:t>人外，评审小组按照经评审的报价由低到高推荐排名前3名的竞选人为成交候选人。</w:t>
            </w:r>
          </w:p>
          <w:p w14:paraId="070AA3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 xml:space="preserve">3.4.2 </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完成</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后，应当向比选人提交书面</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报告。</w:t>
            </w:r>
          </w:p>
        </w:tc>
      </w:tr>
    </w:tbl>
    <w:p w14:paraId="09155AB9">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经评审的报价</w:t>
      </w:r>
      <w:r>
        <w:rPr>
          <w:rFonts w:hint="eastAsia" w:ascii="方正仿宋_GB18030" w:hAnsi="方正仿宋_GB18030" w:eastAsia="方正仿宋_GB18030" w:cs="方正仿宋_GB18030"/>
          <w:color w:val="auto"/>
          <w:kern w:val="0"/>
          <w:szCs w:val="21"/>
          <w:highlight w:val="none"/>
        </w:rPr>
        <w:t>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  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款规定的经评审的报价调整方法进行必要的价格调整，并编制“标价比较表”。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除第二章“竞选人须知”前附表授权直接确定成交竞选人外，评审小组按照经评审的报价由低到高的顺序推荐成交竞选人候选人，并标明排序。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3"/>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7E821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3714DA6">
            <w:pPr>
              <w:ind w:left="105" w:right="105"/>
              <w:jc w:val="center"/>
              <w:rPr>
                <w:rFonts w:hint="default" w:ascii="方正仿宋_GBK" w:hAnsi="方正仿宋_GBK" w:eastAsia="方正仿宋_GBK"/>
                <w:lang w:val="en-US" w:eastAsia="zh-CN"/>
              </w:rPr>
            </w:pPr>
            <w:r>
              <w:rPr>
                <w:rFonts w:hint="eastAsia" w:ascii="方正仿宋_GBK" w:hAnsi="方正仿宋_GBK" w:eastAsia="方正仿宋_GBK"/>
                <w:lang w:val="en-US" w:eastAsia="zh-CN"/>
              </w:rPr>
              <w:t>10</w:t>
            </w:r>
          </w:p>
        </w:tc>
        <w:tc>
          <w:tcPr>
            <w:tcW w:w="7737" w:type="dxa"/>
            <w:vAlign w:val="center"/>
          </w:tcPr>
          <w:p w14:paraId="002F774A">
            <w:pPr>
              <w:ind w:left="105" w:right="105"/>
              <w:rPr>
                <w:rFonts w:hint="eastAsia" w:ascii="方正仿宋_GBK" w:hAnsi="方正仿宋_GBK" w:eastAsia="方正仿宋_GBK" w:cs="Times New Roman"/>
                <w:lang w:val="en-US" w:eastAsia="zh-CN"/>
              </w:rPr>
            </w:pPr>
            <w:r>
              <w:rPr>
                <w:rFonts w:ascii="方正仿宋_GBK" w:hAnsi="方正仿宋_GBK" w:eastAsia="方正仿宋_GBK" w:cs="Times New Roman"/>
              </w:rPr>
              <w:t>不同竞选人提交的技术方案或其他竞选材料存在异常雷同，且无法合理说明的，视为串通投标，作否决处理</w:t>
            </w:r>
            <w:r>
              <w:rPr>
                <w:rFonts w:hint="eastAsia" w:ascii="方正仿宋_GBK" w:hAnsi="方正仿宋_GBK" w:eastAsia="方正仿宋_GBK" w:cs="Times New Roman"/>
                <w:lang w:eastAsia="zh-CN"/>
              </w:rPr>
              <w:t>。</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57820636"/>
      <w:bookmarkStart w:id="223" w:name="_Toc430530509"/>
      <w:bookmarkStart w:id="224" w:name="_Toc509218785"/>
      <w:bookmarkStart w:id="225" w:name="_Toc12914"/>
      <w:bookmarkStart w:id="226" w:name="_Toc32401"/>
    </w:p>
    <w:p w14:paraId="3B388336">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2"/>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0339C27A">
      <w:pPr>
        <w:spacing w:before="159" w:line="222" w:lineRule="auto"/>
        <w:ind w:right="105"/>
        <w:jc w:val="both"/>
        <w:outlineLvl w:val="1"/>
        <w:rPr>
          <w:rFonts w:hint="eastAsia" w:ascii="方正黑体_GBK" w:hAnsi="方正黑体_GBK" w:eastAsia="方正黑体_GBK" w:cs="方正黑体_GBK"/>
          <w:b w:val="0"/>
          <w:bCs w:val="0"/>
          <w:color w:val="2B4753"/>
          <w:spacing w:val="22"/>
          <w:sz w:val="48"/>
          <w:szCs w:val="48"/>
          <w:lang w:eastAsia="zh-CN"/>
        </w:rPr>
      </w:pPr>
    </w:p>
    <w:p w14:paraId="0DBC7FC8">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76582FB1">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重庆环保投资集团有限公司</w:t>
      </w:r>
    </w:p>
    <w:p w14:paraId="2E90DB8A">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技术咨询服务合同</w:t>
      </w:r>
    </w:p>
    <w:p w14:paraId="39072BD9">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p w14:paraId="018BE314">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35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7371"/>
      </w:tblGrid>
      <w:tr w14:paraId="45B2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985" w:type="dxa"/>
            <w:vAlign w:val="center"/>
          </w:tcPr>
          <w:p w14:paraId="268184B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71" w:type="dxa"/>
            <w:tcBorders>
              <w:bottom w:val="single" w:color="auto" w:sz="4" w:space="0"/>
            </w:tcBorders>
            <w:vAlign w:val="center"/>
          </w:tcPr>
          <w:p w14:paraId="47501B9F">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rPr>
              <w:t>重庆环保投资集团有限公司渝东南环境治理分公司</w:t>
            </w:r>
            <w:r>
              <w:rPr>
                <w:rFonts w:hint="eastAsia" w:ascii="方正仿宋_GBK" w:hAnsi="方正仿宋_GBK" w:eastAsia="方正仿宋_GBK"/>
                <w:sz w:val="28"/>
                <w:szCs w:val="48"/>
                <w:lang w:val="en-US" w:eastAsia="zh-CN"/>
              </w:rPr>
              <w:t>人事档案服务</w:t>
            </w:r>
          </w:p>
        </w:tc>
      </w:tr>
      <w:tr w14:paraId="6529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985" w:type="dxa"/>
            <w:vAlign w:val="center"/>
          </w:tcPr>
          <w:p w14:paraId="234FB87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71" w:type="dxa"/>
            <w:tcBorders>
              <w:top w:val="single" w:color="auto" w:sz="4" w:space="0"/>
              <w:bottom w:val="single" w:color="auto" w:sz="4" w:space="0"/>
            </w:tcBorders>
            <w:vAlign w:val="center"/>
          </w:tcPr>
          <w:p w14:paraId="30C9F83C">
            <w:pPr>
              <w:widowControl w:val="0"/>
              <w:ind w:left="105" w:right="105"/>
              <w:jc w:val="center"/>
              <w:rPr>
                <w:rFonts w:ascii="方正仿宋_GBK" w:hAnsi="方正仿宋_GBK" w:eastAsia="方正仿宋_GBK"/>
                <w:sz w:val="28"/>
                <w:szCs w:val="48"/>
              </w:rPr>
            </w:pPr>
          </w:p>
        </w:tc>
      </w:tr>
      <w:tr w14:paraId="647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85" w:type="dxa"/>
            <w:vAlign w:val="center"/>
          </w:tcPr>
          <w:p w14:paraId="248E99F9">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71" w:type="dxa"/>
            <w:tcBorders>
              <w:top w:val="single" w:color="auto" w:sz="4" w:space="0"/>
              <w:bottom w:val="single" w:color="auto" w:sz="4" w:space="0"/>
            </w:tcBorders>
            <w:vAlign w:val="center"/>
          </w:tcPr>
          <w:p w14:paraId="2E554EA0">
            <w:pPr>
              <w:widowControl w:val="0"/>
              <w:ind w:left="105" w:right="105"/>
              <w:jc w:val="center"/>
              <w:rPr>
                <w:rFonts w:hint="eastAsia" w:ascii="方正仿宋_GBK" w:hAnsi="方正仿宋_GBK" w:eastAsia="方正仿宋_GBK"/>
                <w:sz w:val="28"/>
                <w:szCs w:val="48"/>
                <w:lang w:eastAsia="zh-CN"/>
              </w:rPr>
            </w:pPr>
            <w:r>
              <w:rPr>
                <w:rFonts w:hint="eastAsia" w:ascii="方正仿宋_GBK" w:hAnsi="方正仿宋_GBK" w:eastAsia="方正仿宋_GBK"/>
                <w:sz w:val="28"/>
                <w:szCs w:val="48"/>
                <w:lang w:eastAsia="zh-CN"/>
              </w:rPr>
              <w:t>重庆环保投资集团有限公司</w:t>
            </w:r>
          </w:p>
        </w:tc>
      </w:tr>
      <w:tr w14:paraId="57A7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85" w:type="dxa"/>
            <w:vAlign w:val="center"/>
          </w:tcPr>
          <w:p w14:paraId="6B76EC6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71" w:type="dxa"/>
            <w:tcBorders>
              <w:top w:val="single" w:color="auto" w:sz="4" w:space="0"/>
              <w:bottom w:val="single" w:color="auto" w:sz="4" w:space="0"/>
            </w:tcBorders>
            <w:vAlign w:val="center"/>
          </w:tcPr>
          <w:p w14:paraId="6490B995">
            <w:pPr>
              <w:widowControl w:val="0"/>
              <w:ind w:left="105" w:right="105"/>
              <w:jc w:val="center"/>
              <w:rPr>
                <w:rFonts w:hint="eastAsia" w:ascii="方正仿宋_GBK" w:hAnsi="方正仿宋_GBK" w:eastAsia="方正仿宋_GBK"/>
                <w:sz w:val="28"/>
                <w:szCs w:val="48"/>
                <w:lang w:eastAsia="zh-CN"/>
              </w:rPr>
            </w:pPr>
          </w:p>
        </w:tc>
      </w:tr>
      <w:tr w14:paraId="631E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985" w:type="dxa"/>
            <w:vAlign w:val="center"/>
          </w:tcPr>
          <w:p w14:paraId="7A35E8DC">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71" w:type="dxa"/>
            <w:tcBorders>
              <w:top w:val="single" w:color="auto" w:sz="4" w:space="0"/>
              <w:bottom w:val="single" w:color="auto" w:sz="4" w:space="0"/>
            </w:tcBorders>
            <w:vAlign w:val="center"/>
          </w:tcPr>
          <w:p w14:paraId="5C0D8D6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7A55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985" w:type="dxa"/>
            <w:vAlign w:val="center"/>
          </w:tcPr>
          <w:p w14:paraId="1A0E86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71" w:type="dxa"/>
            <w:tcBorders>
              <w:top w:val="single" w:color="auto" w:sz="4" w:space="0"/>
              <w:bottom w:val="single" w:color="auto" w:sz="4" w:space="0"/>
            </w:tcBorders>
            <w:vAlign w:val="center"/>
          </w:tcPr>
          <w:p w14:paraId="053FFB91">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val="en-US" w:eastAsia="zh-CN"/>
              </w:rPr>
              <w:t>年 月 日</w:t>
            </w:r>
          </w:p>
        </w:tc>
      </w:tr>
    </w:tbl>
    <w:p w14:paraId="5B58D08A">
      <w:pPr>
        <w:rPr>
          <w:color w:val="auto"/>
        </w:rPr>
      </w:pPr>
    </w:p>
    <w:p w14:paraId="3B1E4929">
      <w:pPr>
        <w:pStyle w:val="6"/>
        <w:rPr>
          <w:color w:val="auto"/>
        </w:rPr>
      </w:pPr>
    </w:p>
    <w:p w14:paraId="1CA8BA8C">
      <w:pPr>
        <w:rPr>
          <w:color w:val="auto"/>
        </w:rPr>
      </w:pPr>
    </w:p>
    <w:p w14:paraId="05BC40E3">
      <w:pPr>
        <w:pStyle w:val="6"/>
        <w:rPr>
          <w:color w:val="auto"/>
        </w:rPr>
      </w:pPr>
    </w:p>
    <w:p w14:paraId="7650CF21">
      <w:pPr>
        <w:rPr>
          <w:color w:val="auto"/>
        </w:rPr>
      </w:pPr>
    </w:p>
    <w:p w14:paraId="7732276A">
      <w:pPr>
        <w:pStyle w:val="6"/>
        <w:rPr>
          <w:color w:val="auto"/>
        </w:rPr>
      </w:pPr>
    </w:p>
    <w:p w14:paraId="646C638B">
      <w:pPr>
        <w:rPr>
          <w:color w:val="auto"/>
        </w:rPr>
      </w:pPr>
    </w:p>
    <w:p w14:paraId="2E48F15C">
      <w:pPr>
        <w:pStyle w:val="6"/>
        <w:rPr>
          <w:color w:val="auto"/>
        </w:rPr>
      </w:pPr>
    </w:p>
    <w:p w14:paraId="6477794E">
      <w:pPr>
        <w:rPr>
          <w:color w:val="auto"/>
        </w:rPr>
      </w:pPr>
    </w:p>
    <w:p w14:paraId="320F15AA">
      <w:pPr>
        <w:pStyle w:val="6"/>
        <w:rPr>
          <w:color w:val="auto"/>
        </w:rPr>
      </w:pPr>
    </w:p>
    <w:p w14:paraId="730A0435">
      <w:pPr>
        <w:rPr>
          <w:color w:val="auto"/>
        </w:rPr>
      </w:pPr>
    </w:p>
    <w:p w14:paraId="128ECE98">
      <w:pPr>
        <w:rPr>
          <w:color w:val="auto"/>
        </w:rPr>
      </w:pPr>
    </w:p>
    <w:p w14:paraId="7E0C0336">
      <w:pPr>
        <w:rPr>
          <w:color w:val="auto"/>
        </w:rPr>
      </w:pPr>
    </w:p>
    <w:p w14:paraId="1309CB32">
      <w:pPr>
        <w:pStyle w:val="6"/>
        <w:rPr>
          <w:color w:val="auto"/>
        </w:rPr>
      </w:pPr>
    </w:p>
    <w:p w14:paraId="6DDEE498">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仿宋" w:hAnsi="仿宋" w:eastAsia="仿宋" w:cs="仿宋"/>
          <w:snapToGrid/>
          <w:kern w:val="2"/>
          <w:sz w:val="24"/>
          <w:szCs w:val="24"/>
          <w:highlight w:val="none"/>
          <w:lang w:val="en-US" w:eastAsia="zh-CN" w:bidi="ar-SA"/>
        </w:rPr>
      </w:pPr>
    </w:p>
    <w:p w14:paraId="4713BAB2">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甲方：重庆环保投资集团有限公司</w:t>
      </w:r>
    </w:p>
    <w:p w14:paraId="104E50BC">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公司地址：重庆市江北区海尔路176号（美全22世纪B塔第23层）</w:t>
      </w:r>
    </w:p>
    <w:p w14:paraId="19C85B17">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法定代表人：潘富宏</w:t>
      </w:r>
    </w:p>
    <w:p w14:paraId="14A8AF2B">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统一社会信用代码：91500000339470140F</w:t>
      </w:r>
    </w:p>
    <w:p w14:paraId="7A5821A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乙方：</w:t>
      </w:r>
    </w:p>
    <w:p w14:paraId="12AEB78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w:t>
      </w:r>
    </w:p>
    <w:p w14:paraId="71A6243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w:t>
      </w:r>
    </w:p>
    <w:p w14:paraId="43DFC6D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w:t>
      </w:r>
    </w:p>
    <w:p w14:paraId="632528C9">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根据《中华人民共和国民法典》及相关法律、法规，甲乙双方本着平等、自愿、诚实信用的原则，就重庆环保投资集团有限公司渝东南环境治理分公司人事档案服务工作达成如下协议：</w:t>
      </w:r>
    </w:p>
    <w:p w14:paraId="54CE7C5B">
      <w:pPr>
        <w:numPr>
          <w:ilvl w:val="0"/>
          <w:numId w:val="1"/>
        </w:numP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项目名称：</w:t>
      </w:r>
    </w:p>
    <w:p w14:paraId="2218AB0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重庆环保投资集团有限公司渝东南环境治理分公司人事档案服务。</w:t>
      </w:r>
    </w:p>
    <w:p w14:paraId="4CD577FC">
      <w:pPr>
        <w:numPr>
          <w:ilvl w:val="0"/>
          <w:numId w:val="1"/>
        </w:num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项目内容与范围：</w:t>
      </w:r>
    </w:p>
    <w:p w14:paraId="4E4628F6">
      <w:pPr>
        <w:ind w:firstLine="554" w:firstLineChars="231"/>
        <w:rPr>
          <w:rFonts w:hint="default"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比选人招采具备档案服务资质的专业机构提供人事档案审核、整理、数字化等相关服务。服务内容、标准及要求参照《人事档案服务协议》及相关国家、行业规范执行。 范围：重庆环投渝东南分公司人事档案审查</w:t>
      </w:r>
      <w:r>
        <w:rPr>
          <w:rFonts w:hint="default" w:ascii="方正仿宋_GBK" w:hAnsi="方正仿宋_GBK" w:eastAsia="方正仿宋_GBK" w:cs="方正仿宋_GBK"/>
          <w:snapToGrid/>
          <w:kern w:val="2"/>
          <w:sz w:val="24"/>
          <w:szCs w:val="24"/>
          <w:highlight w:val="none"/>
          <w:lang w:val="en-US" w:eastAsia="zh-CN" w:bidi="ar-SA"/>
        </w:rPr>
        <w:t>。</w:t>
      </w:r>
    </w:p>
    <w:p w14:paraId="46F17FCD">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三、合同价款及支付方式：</w:t>
      </w:r>
    </w:p>
    <w:p w14:paraId="2C083C58">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3.1合同总价：本合同为含税全费用包干价。合同总金额为人民币   元（大写：  ）。该费用包括但不限于报告编制、送审、修改、差旅、税费等所有相关费用。</w:t>
      </w:r>
    </w:p>
    <w:p w14:paraId="68A89F65">
      <w:pPr>
        <w:numPr>
          <w:ilvl w:val="0"/>
          <w:numId w:val="0"/>
        </w:numPr>
        <w:ind w:right="105" w:rightChars="50" w:firstLine="480" w:firstLineChars="200"/>
        <w:rPr>
          <w:rFonts w:hint="eastAsia" w:ascii="方正仿宋_GBK" w:hAnsi="方正仿宋_GBK" w:eastAsia="方正仿宋_GBK" w:cs="方正仿宋_GBK"/>
          <w:sz w:val="24"/>
          <w:szCs w:val="24"/>
          <w:highlight w:val="none"/>
          <w:lang w:val="en-US" w:eastAsia="zh-CN"/>
        </w:rPr>
      </w:pPr>
      <w:r>
        <w:rPr>
          <w:rFonts w:hint="eastAsia" w:ascii="Times New Roman" w:hAnsi="Times New Roman" w:eastAsia="方正仿宋_GBK" w:cs="Times New Roman"/>
          <w:snapToGrid/>
          <w:kern w:val="2"/>
          <w:sz w:val="24"/>
          <w:szCs w:val="24"/>
          <w:highlight w:val="none"/>
          <w:lang w:val="en-US" w:eastAsia="zh-CN" w:bidi="ar-SA"/>
        </w:rPr>
        <w:t>3.2支付方式：乙方完成全部合同约定工作内容并取得主管部门批复意见后，向甲方提供等额增值税</w:t>
      </w:r>
      <w:r>
        <w:rPr>
          <w:rFonts w:hint="eastAsia" w:ascii="Times New Roman" w:hAnsi="Times New Roman" w:eastAsia="方正仿宋_GBK" w:cs="Times New Roman"/>
          <w:snapToGrid/>
          <w:kern w:val="2"/>
          <w:sz w:val="24"/>
          <w:szCs w:val="24"/>
          <w:highlight w:val="none"/>
          <w:lang w:val="en-US" w:eastAsia="zh-CN" w:bidi="ar-SA"/>
        </w:rPr>
        <w:sym w:font="Wingdings 2" w:char="00A3"/>
      </w:r>
      <w:r>
        <w:rPr>
          <w:rFonts w:hint="eastAsia" w:ascii="Times New Roman" w:hAnsi="Times New Roman" w:eastAsia="方正仿宋_GBK" w:cs="Times New Roman"/>
          <w:snapToGrid/>
          <w:kern w:val="2"/>
          <w:sz w:val="24"/>
          <w:szCs w:val="24"/>
          <w:highlight w:val="none"/>
          <w:lang w:val="en-US" w:eastAsia="zh-CN" w:bidi="ar-SA"/>
        </w:rPr>
        <w:t>普通</w:t>
      </w:r>
      <w:r>
        <w:rPr>
          <w:rFonts w:hint="eastAsia" w:ascii="Times New Roman" w:hAnsi="Times New Roman" w:eastAsia="方正仿宋_GBK" w:cs="Times New Roman"/>
          <w:snapToGrid/>
          <w:kern w:val="2"/>
          <w:sz w:val="24"/>
          <w:szCs w:val="24"/>
          <w:highlight w:val="none"/>
          <w:lang w:val="en-US" w:eastAsia="zh-CN" w:bidi="ar-SA"/>
        </w:rPr>
        <w:sym w:font="Wingdings 2" w:char="00A3"/>
      </w:r>
      <w:r>
        <w:rPr>
          <w:rFonts w:hint="eastAsia" w:ascii="Times New Roman" w:hAnsi="Times New Roman" w:eastAsia="方正仿宋_GBK" w:cs="Times New Roman"/>
          <w:snapToGrid/>
          <w:kern w:val="2"/>
          <w:sz w:val="24"/>
          <w:szCs w:val="24"/>
          <w:highlight w:val="none"/>
          <w:lang w:val="en-US" w:eastAsia="zh-CN" w:bidi="ar-SA"/>
        </w:rPr>
        <w:t>专用发票（税率[ ]%），甲方在收到等额发票后20个工作日内一次性支付全部合同款项。</w:t>
      </w:r>
    </w:p>
    <w:p w14:paraId="15D9CDC2">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四、质量技术标准：</w:t>
      </w:r>
    </w:p>
    <w:p w14:paraId="276A1A36">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（一）服务内容</w:t>
      </w:r>
    </w:p>
    <w:p w14:paraId="6570877D">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成交人</w:t>
      </w:r>
      <w:r>
        <w:rPr>
          <w:rFonts w:hint="default" w:ascii="Times New Roman" w:hAnsi="Times New Roman" w:eastAsia="方正仿宋_GBK" w:cs="Times New Roman"/>
          <w:snapToGrid/>
          <w:kern w:val="2"/>
          <w:sz w:val="24"/>
          <w:szCs w:val="24"/>
          <w:highlight w:val="none"/>
          <w:lang w:val="en-US" w:eastAsia="zh-CN" w:bidi="ar-SA"/>
        </w:rPr>
        <w:t>对</w:t>
      </w:r>
      <w:r>
        <w:rPr>
          <w:rFonts w:hint="eastAsia" w:ascii="Times New Roman" w:hAnsi="Times New Roman" w:eastAsia="方正仿宋_GBK" w:cs="Times New Roman"/>
          <w:snapToGrid/>
          <w:kern w:val="2"/>
          <w:sz w:val="24"/>
          <w:szCs w:val="24"/>
          <w:highlight w:val="none"/>
          <w:lang w:val="en-US" w:eastAsia="zh-CN" w:bidi="ar-SA"/>
        </w:rPr>
        <w:t>采购人</w:t>
      </w:r>
      <w:r>
        <w:rPr>
          <w:rFonts w:hint="default" w:ascii="Times New Roman" w:hAnsi="Times New Roman" w:eastAsia="方正仿宋_GBK" w:cs="Times New Roman"/>
          <w:snapToGrid/>
          <w:kern w:val="2"/>
          <w:sz w:val="24"/>
          <w:szCs w:val="24"/>
          <w:highlight w:val="none"/>
          <w:lang w:val="en-US" w:eastAsia="zh-CN" w:bidi="ar-SA"/>
        </w:rPr>
        <w:t>提供的人事档案进行鉴定、分类、查重、剔除不归档文件、排序、托裱修补、编页、档号划分、编制目录、背脊著录、数字化加工、装盒及指导工作。</w:t>
      </w:r>
    </w:p>
    <w:p w14:paraId="0B4CBE68">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（二）服务标准</w:t>
      </w:r>
    </w:p>
    <w:p w14:paraId="6C591210">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本次档案服务工作必须达到以下标准：</w:t>
      </w:r>
    </w:p>
    <w:p w14:paraId="41AAC341">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《中华人民共和国档案法》</w:t>
      </w:r>
    </w:p>
    <w:p w14:paraId="5E9CE598">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《中华人民共和国保密法》</w:t>
      </w:r>
    </w:p>
    <w:p w14:paraId="7328E512">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《干部档案整理工作细则》</w:t>
      </w:r>
    </w:p>
    <w:p w14:paraId="0231011F">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《中共中央组织部关于做好文件改版涉及干部人事档案有关工作的通知》</w:t>
      </w:r>
    </w:p>
    <w:p w14:paraId="7F4FE29A">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国标DA/T22-2015《归档文件整理规则》</w:t>
      </w:r>
    </w:p>
    <w:p w14:paraId="14FC3C4B">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国标DA/T18-1999《档案著录规则》</w:t>
      </w:r>
    </w:p>
    <w:p w14:paraId="2C5E87AE">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中共中央组织部办公厅《关于进一步做好干部人事档案信息化工作的通知》（组厅字〔2020〕13号）</w:t>
      </w:r>
    </w:p>
    <w:p w14:paraId="023A8799">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中共重庆市委组织部转发中央组织部办公厅《关于进一步做好干部人事档案信息化工作的通知》的通知（渝委组〔2020〕51号）</w:t>
      </w:r>
    </w:p>
    <w:p w14:paraId="4020DFA8">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国家对干部人事档案的相关要求</w:t>
      </w:r>
    </w:p>
    <w:p w14:paraId="21952570">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default" w:ascii="Times New Roman" w:hAnsi="Times New Roman" w:eastAsia="方正仿宋_GBK" w:cs="Times New Roman"/>
          <w:snapToGrid/>
          <w:kern w:val="2"/>
          <w:sz w:val="24"/>
          <w:szCs w:val="24"/>
          <w:highlight w:val="none"/>
          <w:lang w:val="en-US" w:eastAsia="zh-CN" w:bidi="ar-SA"/>
        </w:rPr>
        <w:t>（三）主要要求</w:t>
      </w:r>
    </w:p>
    <w:p w14:paraId="370F8AFE">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1.</w:t>
      </w:r>
      <w:r>
        <w:rPr>
          <w:rFonts w:hint="default" w:ascii="Times New Roman" w:hAnsi="Times New Roman" w:eastAsia="方正仿宋_GBK" w:cs="Times New Roman"/>
          <w:snapToGrid/>
          <w:kern w:val="2"/>
          <w:sz w:val="24"/>
          <w:szCs w:val="24"/>
          <w:highlight w:val="none"/>
          <w:lang w:val="en-US" w:eastAsia="zh-CN" w:bidi="ar-SA"/>
        </w:rPr>
        <w:t>服务场地由</w:t>
      </w:r>
      <w:r>
        <w:rPr>
          <w:rFonts w:hint="eastAsia" w:ascii="Times New Roman" w:hAnsi="Times New Roman" w:eastAsia="方正仿宋_GBK" w:cs="Times New Roman"/>
          <w:snapToGrid/>
          <w:kern w:val="2"/>
          <w:sz w:val="24"/>
          <w:szCs w:val="24"/>
          <w:highlight w:val="none"/>
          <w:lang w:val="en-US" w:eastAsia="zh-CN" w:bidi="ar-SA"/>
        </w:rPr>
        <w:t>采购人</w:t>
      </w:r>
      <w:r>
        <w:rPr>
          <w:rFonts w:hint="default" w:ascii="Times New Roman" w:hAnsi="Times New Roman" w:eastAsia="方正仿宋_GBK" w:cs="Times New Roman"/>
          <w:snapToGrid/>
          <w:kern w:val="2"/>
          <w:sz w:val="24"/>
          <w:szCs w:val="24"/>
          <w:highlight w:val="none"/>
          <w:lang w:val="en-US" w:eastAsia="zh-CN" w:bidi="ar-SA"/>
        </w:rPr>
        <w:t>提供；</w:t>
      </w:r>
    </w:p>
    <w:p w14:paraId="0848A944">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2.</w:t>
      </w:r>
      <w:r>
        <w:rPr>
          <w:rFonts w:hint="default" w:ascii="Times New Roman" w:hAnsi="Times New Roman" w:eastAsia="方正仿宋_GBK" w:cs="Times New Roman"/>
          <w:snapToGrid/>
          <w:kern w:val="2"/>
          <w:sz w:val="24"/>
          <w:szCs w:val="24"/>
          <w:highlight w:val="none"/>
          <w:lang w:val="en-US" w:eastAsia="zh-CN" w:bidi="ar-SA"/>
        </w:rPr>
        <w:t>服务过程中对</w:t>
      </w:r>
      <w:r>
        <w:rPr>
          <w:rFonts w:hint="eastAsia" w:ascii="Times New Roman" w:hAnsi="Times New Roman" w:eastAsia="方正仿宋_GBK" w:cs="Times New Roman"/>
          <w:snapToGrid/>
          <w:kern w:val="2"/>
          <w:sz w:val="24"/>
          <w:szCs w:val="24"/>
          <w:highlight w:val="none"/>
          <w:lang w:val="en-US" w:eastAsia="zh-CN" w:bidi="ar-SA"/>
        </w:rPr>
        <w:t>采购人</w:t>
      </w:r>
      <w:r>
        <w:rPr>
          <w:rFonts w:hint="default" w:ascii="Times New Roman" w:hAnsi="Times New Roman" w:eastAsia="方正仿宋_GBK" w:cs="Times New Roman"/>
          <w:snapToGrid/>
          <w:kern w:val="2"/>
          <w:sz w:val="24"/>
          <w:szCs w:val="24"/>
          <w:highlight w:val="none"/>
          <w:lang w:val="en-US" w:eastAsia="zh-CN" w:bidi="ar-SA"/>
        </w:rPr>
        <w:t>档案内容严格保密；</w:t>
      </w:r>
    </w:p>
    <w:p w14:paraId="5B83A931">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3.</w:t>
      </w:r>
      <w:r>
        <w:rPr>
          <w:rFonts w:hint="default" w:ascii="Times New Roman" w:hAnsi="Times New Roman" w:eastAsia="方正仿宋_GBK" w:cs="Times New Roman"/>
          <w:snapToGrid/>
          <w:kern w:val="2"/>
          <w:sz w:val="24"/>
          <w:szCs w:val="24"/>
          <w:highlight w:val="none"/>
          <w:lang w:val="en-US" w:eastAsia="zh-CN" w:bidi="ar-SA"/>
        </w:rPr>
        <w:t>不得损坏档案的完整性；</w:t>
      </w:r>
    </w:p>
    <w:p w14:paraId="24B1EBB4">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4.</w:t>
      </w:r>
      <w:r>
        <w:rPr>
          <w:rFonts w:hint="default" w:ascii="Times New Roman" w:hAnsi="Times New Roman" w:eastAsia="方正仿宋_GBK" w:cs="Times New Roman"/>
          <w:snapToGrid/>
          <w:kern w:val="2"/>
          <w:sz w:val="24"/>
          <w:szCs w:val="24"/>
          <w:highlight w:val="none"/>
          <w:lang w:val="en-US" w:eastAsia="zh-CN" w:bidi="ar-SA"/>
        </w:rPr>
        <w:t>不得丢失、遗漏任何一份档案；</w:t>
      </w:r>
    </w:p>
    <w:p w14:paraId="0F5D2EF9">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5.</w:t>
      </w:r>
      <w:r>
        <w:rPr>
          <w:rFonts w:hint="default" w:ascii="Times New Roman" w:hAnsi="Times New Roman" w:eastAsia="方正仿宋_GBK" w:cs="Times New Roman"/>
          <w:snapToGrid/>
          <w:kern w:val="2"/>
          <w:sz w:val="24"/>
          <w:szCs w:val="24"/>
          <w:highlight w:val="none"/>
          <w:lang w:val="en-US" w:eastAsia="zh-CN" w:bidi="ar-SA"/>
        </w:rPr>
        <w:t>按照中组部干部人事档案工作要求执行；</w:t>
      </w:r>
    </w:p>
    <w:p w14:paraId="63D87995">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6.</w:t>
      </w:r>
      <w:r>
        <w:rPr>
          <w:rFonts w:hint="default" w:ascii="Times New Roman" w:hAnsi="Times New Roman" w:eastAsia="方正仿宋_GBK" w:cs="Times New Roman"/>
          <w:snapToGrid/>
          <w:kern w:val="2"/>
          <w:sz w:val="24"/>
          <w:szCs w:val="24"/>
          <w:highlight w:val="none"/>
          <w:lang w:val="en-US" w:eastAsia="zh-CN" w:bidi="ar-SA"/>
        </w:rPr>
        <w:t>按照标准要求指导装订还原；</w:t>
      </w:r>
    </w:p>
    <w:p w14:paraId="2BC15BFA">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7.</w:t>
      </w:r>
      <w:r>
        <w:rPr>
          <w:rFonts w:hint="default" w:ascii="Times New Roman" w:hAnsi="Times New Roman" w:eastAsia="方正仿宋_GBK" w:cs="Times New Roman"/>
          <w:snapToGrid/>
          <w:kern w:val="2"/>
          <w:sz w:val="24"/>
          <w:szCs w:val="24"/>
          <w:highlight w:val="none"/>
          <w:lang w:val="en-US" w:eastAsia="zh-CN" w:bidi="ar-SA"/>
        </w:rPr>
        <w:t>国家档案局关于档案归档立卷规定不明确的，按照行业规定或行业习惯执行。</w:t>
      </w:r>
    </w:p>
    <w:p w14:paraId="6B57E6F8">
      <w:pPr>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五、完成时限要求：</w:t>
      </w:r>
    </w:p>
    <w:p w14:paraId="1417057D">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firstLine="480" w:firstLineChars="200"/>
        <w:textAlignment w:val="baseline"/>
        <w:rPr>
          <w:rFonts w:hint="eastAsia" w:ascii="仿宋" w:hAnsi="仿宋" w:eastAsia="仿宋" w:cs="仿宋"/>
          <w:sz w:val="24"/>
          <w:szCs w:val="24"/>
          <w:highlight w:val="none"/>
          <w:lang w:val="en-US" w:eastAsia="zh-CN"/>
        </w:rPr>
      </w:pPr>
      <w:r>
        <w:rPr>
          <w:rFonts w:hint="default" w:ascii="方正仿宋_GBK" w:hAnsi="方正仿宋_GBK" w:eastAsia="方正仿宋_GBK" w:cs="方正仿宋_GBK"/>
          <w:snapToGrid/>
          <w:color w:val="auto"/>
          <w:kern w:val="2"/>
          <w:sz w:val="24"/>
          <w:szCs w:val="24"/>
          <w:highlight w:val="none"/>
          <w:lang w:val="en-US" w:eastAsia="zh-CN" w:bidi="ar-SA"/>
        </w:rPr>
        <w:t>合同签订之日起</w:t>
      </w:r>
      <w:r>
        <w:rPr>
          <w:rFonts w:hint="eastAsia" w:ascii="方正仿宋_GBK" w:hAnsi="方正仿宋_GBK" w:eastAsia="方正仿宋_GBK" w:cs="方正仿宋_GBK"/>
          <w:snapToGrid/>
          <w:color w:val="auto"/>
          <w:kern w:val="2"/>
          <w:sz w:val="24"/>
          <w:szCs w:val="24"/>
          <w:highlight w:val="none"/>
          <w:lang w:val="en-US" w:eastAsia="zh-CN" w:bidi="ar-SA"/>
        </w:rPr>
        <w:t>2</w:t>
      </w:r>
      <w:r>
        <w:rPr>
          <w:rFonts w:hint="default" w:ascii="方正仿宋_GBK" w:hAnsi="方正仿宋_GBK" w:eastAsia="方正仿宋_GBK" w:cs="方正仿宋_GBK"/>
          <w:snapToGrid/>
          <w:color w:val="auto"/>
          <w:kern w:val="2"/>
          <w:sz w:val="24"/>
          <w:szCs w:val="24"/>
          <w:highlight w:val="none"/>
          <w:lang w:val="en-US" w:eastAsia="zh-CN" w:bidi="ar-SA"/>
        </w:rPr>
        <w:t>个月内完成全部人事档案服务工作。如因</w:t>
      </w:r>
      <w:r>
        <w:rPr>
          <w:rFonts w:hint="eastAsia" w:ascii="方正仿宋_GBK" w:hAnsi="方正仿宋_GBK" w:eastAsia="方正仿宋_GBK" w:cs="方正仿宋_GBK"/>
          <w:snapToGrid/>
          <w:color w:val="auto"/>
          <w:kern w:val="2"/>
          <w:sz w:val="24"/>
          <w:szCs w:val="24"/>
          <w:highlight w:val="none"/>
          <w:lang w:val="en-US" w:eastAsia="zh-CN" w:bidi="ar-SA"/>
        </w:rPr>
        <w:t>采购人</w:t>
      </w:r>
      <w:r>
        <w:rPr>
          <w:rFonts w:hint="default" w:ascii="方正仿宋_GBK" w:hAnsi="方正仿宋_GBK" w:eastAsia="方正仿宋_GBK" w:cs="方正仿宋_GBK"/>
          <w:snapToGrid/>
          <w:color w:val="auto"/>
          <w:kern w:val="2"/>
          <w:sz w:val="24"/>
          <w:szCs w:val="24"/>
          <w:highlight w:val="none"/>
          <w:lang w:val="en-US" w:eastAsia="zh-CN" w:bidi="ar-SA"/>
        </w:rPr>
        <w:t>补资料导致无法按期完成的，完成时间由双方协商一致后顺延。</w:t>
      </w:r>
    </w:p>
    <w:p w14:paraId="0203DDD3">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六、成果交付：</w:t>
      </w:r>
    </w:p>
    <w:p w14:paraId="1436E4E5">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成交人</w:t>
      </w:r>
      <w:r>
        <w:rPr>
          <w:rFonts w:hint="default" w:ascii="Times New Roman" w:hAnsi="Times New Roman" w:eastAsia="方正仿宋_GBK" w:cs="Times New Roman"/>
          <w:snapToGrid/>
          <w:kern w:val="2"/>
          <w:sz w:val="24"/>
          <w:szCs w:val="24"/>
          <w:highlight w:val="none"/>
          <w:lang w:val="en-US" w:eastAsia="zh-CN" w:bidi="ar-SA"/>
        </w:rPr>
        <w:t>对</w:t>
      </w:r>
      <w:r>
        <w:rPr>
          <w:rFonts w:hint="eastAsia" w:ascii="Times New Roman" w:hAnsi="Times New Roman" w:eastAsia="方正仿宋_GBK" w:cs="Times New Roman"/>
          <w:snapToGrid/>
          <w:kern w:val="2"/>
          <w:sz w:val="24"/>
          <w:szCs w:val="24"/>
          <w:highlight w:val="none"/>
          <w:lang w:val="en-US" w:eastAsia="zh-CN" w:bidi="ar-SA"/>
        </w:rPr>
        <w:t>采购人</w:t>
      </w:r>
      <w:r>
        <w:rPr>
          <w:rFonts w:hint="default" w:ascii="Times New Roman" w:hAnsi="Times New Roman" w:eastAsia="方正仿宋_GBK" w:cs="Times New Roman"/>
          <w:snapToGrid/>
          <w:kern w:val="2"/>
          <w:sz w:val="24"/>
          <w:szCs w:val="24"/>
          <w:highlight w:val="none"/>
          <w:lang w:val="en-US" w:eastAsia="zh-CN" w:bidi="ar-SA"/>
        </w:rPr>
        <w:t>提供的人事档案进行鉴定、分类、查重、剔除不归档文件、排序、托裱修补、编页、档号划分、编制目录、背脊著录、数字化加工、装盒及指导工作。</w:t>
      </w:r>
    </w:p>
    <w:p w14:paraId="66A57EA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七、验收标准：</w:t>
      </w:r>
    </w:p>
    <w:p w14:paraId="0AA621FA">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1.</w:t>
      </w:r>
      <w:r>
        <w:rPr>
          <w:rFonts w:hint="default" w:ascii="Times New Roman" w:hAnsi="Times New Roman" w:eastAsia="方正仿宋_GBK" w:cs="Times New Roman"/>
          <w:snapToGrid/>
          <w:kern w:val="2"/>
          <w:sz w:val="24"/>
          <w:szCs w:val="24"/>
          <w:highlight w:val="none"/>
          <w:lang w:val="en-US" w:eastAsia="zh-CN" w:bidi="ar-SA"/>
        </w:rPr>
        <w:t>干部人事档案分类准确；</w:t>
      </w:r>
    </w:p>
    <w:p w14:paraId="0522CF0A">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2.</w:t>
      </w:r>
      <w:r>
        <w:rPr>
          <w:rFonts w:hint="default" w:ascii="Times New Roman" w:hAnsi="Times New Roman" w:eastAsia="方正仿宋_GBK" w:cs="Times New Roman"/>
          <w:snapToGrid/>
          <w:kern w:val="2"/>
          <w:sz w:val="24"/>
          <w:szCs w:val="24"/>
          <w:highlight w:val="none"/>
          <w:lang w:val="en-US" w:eastAsia="zh-CN" w:bidi="ar-SA"/>
        </w:rPr>
        <w:t>干部人事档案加工科学；</w:t>
      </w:r>
    </w:p>
    <w:p w14:paraId="154145A1">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3.</w:t>
      </w:r>
      <w:r>
        <w:rPr>
          <w:rFonts w:hint="default" w:ascii="Times New Roman" w:hAnsi="Times New Roman" w:eastAsia="方正仿宋_GBK" w:cs="Times New Roman"/>
          <w:snapToGrid/>
          <w:kern w:val="2"/>
          <w:sz w:val="24"/>
          <w:szCs w:val="24"/>
          <w:highlight w:val="none"/>
          <w:lang w:val="en-US" w:eastAsia="zh-CN" w:bidi="ar-SA"/>
        </w:rPr>
        <w:t>干部人事档案排列有序；</w:t>
      </w:r>
    </w:p>
    <w:p w14:paraId="00FA707A">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4.</w:t>
      </w:r>
      <w:r>
        <w:rPr>
          <w:rFonts w:hint="default" w:ascii="Times New Roman" w:hAnsi="Times New Roman" w:eastAsia="方正仿宋_GBK" w:cs="Times New Roman"/>
          <w:snapToGrid/>
          <w:kern w:val="2"/>
          <w:sz w:val="24"/>
          <w:szCs w:val="24"/>
          <w:highlight w:val="none"/>
          <w:lang w:val="en-US" w:eastAsia="zh-CN" w:bidi="ar-SA"/>
        </w:rPr>
        <w:t>干部人事档案目录正确；</w:t>
      </w:r>
    </w:p>
    <w:p w14:paraId="775A2191">
      <w:pPr>
        <w:numPr>
          <w:ilvl w:val="0"/>
          <w:numId w:val="0"/>
        </w:numPr>
        <w:ind w:right="105" w:rightChars="50" w:firstLine="480" w:firstLineChars="200"/>
        <w:rPr>
          <w:rFonts w:hint="default"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5.</w:t>
      </w:r>
      <w:r>
        <w:rPr>
          <w:rFonts w:hint="default" w:ascii="Times New Roman" w:hAnsi="Times New Roman" w:eastAsia="方正仿宋_GBK" w:cs="Times New Roman"/>
          <w:snapToGrid/>
          <w:kern w:val="2"/>
          <w:sz w:val="24"/>
          <w:szCs w:val="24"/>
          <w:highlight w:val="none"/>
          <w:lang w:val="en-US" w:eastAsia="zh-CN" w:bidi="ar-SA"/>
        </w:rPr>
        <w:t>干部人事档案装订规范；</w:t>
      </w:r>
    </w:p>
    <w:p w14:paraId="17079AD0">
      <w:pPr>
        <w:numPr>
          <w:ilvl w:val="0"/>
          <w:numId w:val="0"/>
        </w:numPr>
        <w:ind w:right="105" w:rightChars="50" w:firstLine="480" w:firstLineChars="200"/>
        <w:rPr>
          <w:rFonts w:hint="eastAsia" w:ascii="仿宋" w:hAnsi="仿宋" w:eastAsia="仿宋" w:cs="仿宋"/>
          <w:sz w:val="24"/>
          <w:szCs w:val="24"/>
          <w:highlight w:val="none"/>
          <w:lang w:val="en-US" w:eastAsia="zh-CN"/>
        </w:rPr>
      </w:pPr>
      <w:r>
        <w:rPr>
          <w:rFonts w:hint="eastAsia" w:ascii="Times New Roman" w:hAnsi="Times New Roman" w:eastAsia="方正仿宋_GBK" w:cs="Times New Roman"/>
          <w:snapToGrid/>
          <w:kern w:val="2"/>
          <w:sz w:val="24"/>
          <w:szCs w:val="24"/>
          <w:highlight w:val="none"/>
          <w:lang w:val="en-US" w:eastAsia="zh-CN" w:bidi="ar-SA"/>
        </w:rPr>
        <w:t>6.</w:t>
      </w:r>
      <w:r>
        <w:rPr>
          <w:rFonts w:hint="default" w:ascii="Times New Roman" w:hAnsi="Times New Roman" w:eastAsia="方正仿宋_GBK" w:cs="Times New Roman"/>
          <w:snapToGrid/>
          <w:kern w:val="2"/>
          <w:sz w:val="24"/>
          <w:szCs w:val="24"/>
          <w:highlight w:val="none"/>
          <w:lang w:val="en-US" w:eastAsia="zh-CN" w:bidi="ar-SA"/>
        </w:rPr>
        <w:t>档案成果达到完整、真实、条理、精炼、实用。</w:t>
      </w:r>
      <w:r>
        <w:rPr>
          <w:rFonts w:hint="eastAsia" w:ascii="仿宋" w:hAnsi="仿宋" w:eastAsia="仿宋" w:cs="仿宋"/>
          <w:sz w:val="24"/>
          <w:szCs w:val="24"/>
          <w:highlight w:val="none"/>
          <w:lang w:val="en-US" w:eastAsia="zh-CN"/>
        </w:rPr>
        <w:t xml:space="preserve"> </w:t>
      </w:r>
    </w:p>
    <w:p w14:paraId="2F0B6529">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八、双方权利与义务：</w:t>
      </w:r>
    </w:p>
    <w:p w14:paraId="49C25259">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firstLine="480" w:firstLineChars="200"/>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xml:space="preserve">8.1甲方应按时提供项目所需的基础资料，并配合乙方开展工作。  </w:t>
      </w:r>
    </w:p>
    <w:p w14:paraId="3D8AAAA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Times New Roman" w:hAnsi="Times New Roman" w:eastAsia="方正仿宋_GBK" w:cs="Times New Roman"/>
          <w:sz w:val="22"/>
          <w:szCs w:val="24"/>
          <w:highlight w:val="none"/>
        </w:rPr>
      </w:pPr>
      <w:r>
        <w:rPr>
          <w:rFonts w:hint="default" w:ascii="Times New Roman" w:hAnsi="Times New Roman" w:eastAsia="方正仿宋_GBK" w:cs="Times New Roman"/>
          <w:sz w:val="24"/>
          <w:szCs w:val="24"/>
          <w:highlight w:val="none"/>
          <w:lang w:val="en-US" w:eastAsia="zh-CN"/>
        </w:rPr>
        <w:t>8.2乙方应按时、按质完成</w:t>
      </w:r>
      <w:r>
        <w:rPr>
          <w:rFonts w:hint="eastAsia" w:ascii="Times New Roman" w:hAnsi="Times New Roman" w:eastAsia="方正仿宋_GBK" w:cs="Times New Roman"/>
          <w:sz w:val="24"/>
          <w:szCs w:val="24"/>
          <w:highlight w:val="none"/>
          <w:lang w:val="en-US" w:eastAsia="zh-CN"/>
        </w:rPr>
        <w:t>重庆环保投资集团有限公司渝东南环境治理分公司人事档案服务工作</w:t>
      </w:r>
      <w:r>
        <w:rPr>
          <w:rFonts w:hint="default"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2"/>
          <w:szCs w:val="24"/>
          <w:highlight w:val="none"/>
        </w:rPr>
        <w:t xml:space="preserve"> </w:t>
      </w:r>
    </w:p>
    <w:p w14:paraId="584990B6">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480" w:firstLineChars="200"/>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8.3如因乙方原因导致报告未通过审核，乙方应免费修改直至符合要求。</w:t>
      </w:r>
    </w:p>
    <w:p w14:paraId="62CEDAA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九、知识产权：</w:t>
      </w:r>
    </w:p>
    <w:p w14:paraId="30365B7E">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9.1乙方为完成本合同所编制的报告及相关技术文件的知识产权归甲方所有。</w:t>
      </w:r>
    </w:p>
    <w:p w14:paraId="3337F72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9.2乙方保证其提交的成果不侵犯任何第三方的知识产权。如因乙方成果侵犯第三方权益引发纠纷，由乙方承担全部法律责任并赔偿甲方因此遭受的损失。</w:t>
      </w:r>
    </w:p>
    <w:p w14:paraId="1EA1EF1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十、保密义务：</w:t>
      </w:r>
    </w:p>
    <w:p w14:paraId="023495AB">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双方应对在履行本合同过程中知悉的对方商业秘密、技术资料及其他未公开信息承担保密义务，未经对方书面同意，不得向任何第三方披露。本保密条款在本合同终止后3年内继续有效。</w:t>
      </w:r>
    </w:p>
    <w:p w14:paraId="23E364B3">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十一、不可抗力：</w:t>
      </w:r>
    </w:p>
    <w:p w14:paraId="1A313D7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11.1因不可抗力导致无法履行或迟延履行合同义务的，受影响方应在不可抗力事件结束后的7日内通知对方并提供相关证明，可免除相应违约责任。</w:t>
      </w:r>
    </w:p>
    <w:p w14:paraId="32752FA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11.2不可抗力包括但不限于自然灾害、战争、动乱、政府行为等不能预见、不能避免且不能克服的客观情况。</w:t>
      </w:r>
    </w:p>
    <w:p w14:paraId="25E7933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11.3如不可抗力持续超过30日，双方可协商解除合同或变更合同内容。</w:t>
      </w:r>
    </w:p>
    <w:p w14:paraId="7815F395">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十二、违约责任：</w:t>
      </w:r>
    </w:p>
    <w:p w14:paraId="444DCB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12.1若乙方未按时提交成果，每逾期一日，按合同总金额的0.5%向甲方支付违约金，逾期超过15日的，甲方有权解除合同并要求乙方赔偿损失。</w:t>
      </w:r>
    </w:p>
    <w:p w14:paraId="6A1C8A8F">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12.2若甲方未按时支付款项，每逾期一日，按应付未付款项的 0.5% 向乙方支付违约金。</w:t>
      </w:r>
    </w:p>
    <w:p w14:paraId="50847D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12.3任何一方违反本合同其他约定，应赔偿对方因此造成的全部损失。</w:t>
      </w:r>
    </w:p>
    <w:p w14:paraId="1B197516">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十三、合同的变更与解除：</w:t>
      </w:r>
    </w:p>
    <w:p w14:paraId="1967B78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13.1经双方协商一致，可以变更或解除本合同，并签订书面补充协议。</w:t>
      </w:r>
    </w:p>
    <w:p w14:paraId="45C8DD6A">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13.2因不可抗力或法律法规变化导致合同无法继续履行的，任何一方均可书面通知对方解除合同，互不承担违约责任.</w:t>
      </w:r>
    </w:p>
    <w:p w14:paraId="3F50E69C">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十四、争议解决：</w:t>
      </w:r>
    </w:p>
    <w:p w14:paraId="52E21727">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本合同在履行过程中发生争议，双方应友好协商解决；协商不成的，任何一方均可向甲方所在地有管辖权的人民法院提起诉讼。</w:t>
      </w:r>
    </w:p>
    <w:p w14:paraId="6EEA0BD7">
      <w:pPr>
        <w:numPr>
          <w:ilvl w:val="0"/>
          <w:numId w:val="0"/>
        </w:numPr>
        <w:ind w:right="105" w:rightChars="50"/>
        <w:rPr>
          <w:rFonts w:hint="eastAsia"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十五</w:t>
      </w:r>
      <w:r>
        <w:rPr>
          <w:rFonts w:hint="eastAsia" w:ascii="仿宋" w:hAnsi="仿宋" w:eastAsia="仿宋" w:cs="仿宋"/>
          <w:b/>
          <w:bCs/>
          <w:sz w:val="24"/>
          <w:szCs w:val="24"/>
          <w:highlight w:val="none"/>
          <w:lang w:val="en-US" w:eastAsia="zh-CN"/>
        </w:rPr>
        <w:t>、</w:t>
      </w:r>
      <w:r>
        <w:rPr>
          <w:rFonts w:hint="default" w:ascii="仿宋" w:hAnsi="仿宋" w:eastAsia="仿宋" w:cs="仿宋"/>
          <w:b/>
          <w:bCs/>
          <w:sz w:val="24"/>
          <w:szCs w:val="24"/>
          <w:highlight w:val="none"/>
          <w:lang w:val="en-US" w:eastAsia="zh-CN"/>
        </w:rPr>
        <w:t>其他条款</w:t>
      </w:r>
      <w:r>
        <w:rPr>
          <w:rFonts w:hint="eastAsia" w:ascii="仿宋" w:hAnsi="仿宋" w:eastAsia="仿宋" w:cs="仿宋"/>
          <w:b/>
          <w:bCs/>
          <w:sz w:val="24"/>
          <w:szCs w:val="24"/>
          <w:highlight w:val="none"/>
          <w:lang w:val="en-US" w:eastAsia="zh-CN"/>
        </w:rPr>
        <w:t>：</w:t>
      </w:r>
    </w:p>
    <w:p w14:paraId="780EDBCB">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15.1</w:t>
      </w:r>
      <w:r>
        <w:rPr>
          <w:rFonts w:hint="default" w:ascii="Times New Roman" w:hAnsi="Times New Roman" w:eastAsia="方正仿宋_GBK" w:cs="Times New Roman"/>
          <w:sz w:val="24"/>
          <w:szCs w:val="24"/>
          <w:highlight w:val="none"/>
          <w:lang w:val="en-US" w:eastAsia="zh-CN"/>
        </w:rPr>
        <w:t>本合同自双方签字盖章之日起生效，至双方权利义务履行完毕之日止</w:t>
      </w:r>
      <w:r>
        <w:rPr>
          <w:rFonts w:hint="eastAsia" w:ascii="Times New Roman" w:hAnsi="Times New Roman" w:eastAsia="方正仿宋_GBK" w:cs="Times New Roman"/>
          <w:sz w:val="24"/>
          <w:szCs w:val="24"/>
          <w:highlight w:val="none"/>
          <w:lang w:val="en-US" w:eastAsia="zh-CN"/>
        </w:rPr>
        <w:t>；</w:t>
      </w:r>
    </w:p>
    <w:p w14:paraId="5FC48A31">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15.2</w:t>
      </w:r>
      <w:r>
        <w:rPr>
          <w:rFonts w:hint="default" w:ascii="Times New Roman" w:hAnsi="Times New Roman" w:eastAsia="方正仿宋_GBK" w:cs="Times New Roman"/>
          <w:sz w:val="24"/>
          <w:szCs w:val="24"/>
          <w:highlight w:val="none"/>
          <w:lang w:val="en-US" w:eastAsia="zh-CN"/>
        </w:rPr>
        <w:t>根据分公司实际情况可增加或减少服务份数，据实结算；</w:t>
      </w:r>
    </w:p>
    <w:p w14:paraId="778BD600">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15.3</w:t>
      </w:r>
      <w:r>
        <w:rPr>
          <w:rFonts w:hint="default" w:ascii="Times New Roman" w:hAnsi="Times New Roman" w:eastAsia="方正仿宋_GBK" w:cs="Times New Roman"/>
          <w:sz w:val="24"/>
          <w:szCs w:val="24"/>
          <w:highlight w:val="none"/>
          <w:lang w:val="en-US" w:eastAsia="zh-CN"/>
        </w:rPr>
        <w:t>项目验收交付后，提供一年7×24小时免费质量保证及售后服务，服务期内为故障提供免费服务；</w:t>
      </w:r>
    </w:p>
    <w:p w14:paraId="59948763">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15.4成交人</w:t>
      </w:r>
      <w:r>
        <w:rPr>
          <w:rFonts w:hint="default" w:ascii="Times New Roman" w:hAnsi="Times New Roman" w:eastAsia="方正仿宋_GBK" w:cs="Times New Roman"/>
          <w:sz w:val="24"/>
          <w:szCs w:val="24"/>
          <w:highlight w:val="none"/>
          <w:lang w:val="en-US" w:eastAsia="zh-CN"/>
        </w:rPr>
        <w:t>须与工作人员签订保密协议，并对其身份进行审查、登记备案；</w:t>
      </w:r>
    </w:p>
    <w:p w14:paraId="3BB4D367">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15.5</w:t>
      </w:r>
      <w:r>
        <w:rPr>
          <w:rFonts w:hint="default" w:ascii="Times New Roman" w:hAnsi="Times New Roman" w:eastAsia="方正仿宋_GBK" w:cs="Times New Roman"/>
          <w:sz w:val="24"/>
          <w:szCs w:val="24"/>
          <w:highlight w:val="none"/>
          <w:lang w:val="en-US" w:eastAsia="zh-CN"/>
        </w:rPr>
        <w:t>服务完成后，</w:t>
      </w:r>
      <w:r>
        <w:rPr>
          <w:rFonts w:hint="eastAsia" w:ascii="Times New Roman" w:hAnsi="Times New Roman" w:eastAsia="方正仿宋_GBK" w:cs="Times New Roman"/>
          <w:sz w:val="24"/>
          <w:szCs w:val="24"/>
          <w:highlight w:val="none"/>
          <w:lang w:val="en-US" w:eastAsia="zh-CN"/>
        </w:rPr>
        <w:t>成交人</w:t>
      </w:r>
      <w:r>
        <w:rPr>
          <w:rFonts w:hint="default" w:ascii="Times New Roman" w:hAnsi="Times New Roman" w:eastAsia="方正仿宋_GBK" w:cs="Times New Roman"/>
          <w:sz w:val="24"/>
          <w:szCs w:val="24"/>
          <w:highlight w:val="none"/>
          <w:lang w:val="en-US" w:eastAsia="zh-CN"/>
        </w:rPr>
        <w:t>须在</w:t>
      </w:r>
      <w:r>
        <w:rPr>
          <w:rFonts w:hint="eastAsia" w:ascii="Times New Roman" w:hAnsi="Times New Roman" w:eastAsia="方正仿宋_GBK" w:cs="Times New Roman"/>
          <w:sz w:val="24"/>
          <w:szCs w:val="24"/>
          <w:highlight w:val="none"/>
          <w:lang w:val="en-US" w:eastAsia="zh-CN"/>
        </w:rPr>
        <w:t>采购人</w:t>
      </w:r>
      <w:r>
        <w:rPr>
          <w:rFonts w:hint="default" w:ascii="Times New Roman" w:hAnsi="Times New Roman" w:eastAsia="方正仿宋_GBK" w:cs="Times New Roman"/>
          <w:sz w:val="24"/>
          <w:szCs w:val="24"/>
          <w:highlight w:val="none"/>
          <w:lang w:val="en-US" w:eastAsia="zh-CN"/>
        </w:rPr>
        <w:t>监督下销毁所有存储介质中的档案数据；</w:t>
      </w:r>
    </w:p>
    <w:p w14:paraId="05DCC273">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15.6本合同一式陆份，甲方执肆份，乙方执贰份，具有同等法律效力；</w:t>
      </w:r>
    </w:p>
    <w:p w14:paraId="3F04F937">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（以下无正文）</w:t>
      </w:r>
    </w:p>
    <w:p w14:paraId="5C73417E">
      <w:pPr>
        <w:ind w:firstLine="560" w:firstLineChars="200"/>
        <w:rPr>
          <w:rFonts w:hint="eastAsia" w:ascii="方正仿宋_GB2312" w:hAnsi="方正仿宋_GB2312" w:eastAsia="方正仿宋_GB2312" w:cs="方正仿宋_GB2312"/>
          <w:sz w:val="28"/>
          <w:szCs w:val="28"/>
          <w:lang w:val="en-US" w:eastAsia="zh-CN"/>
        </w:rPr>
      </w:pPr>
    </w:p>
    <w:p w14:paraId="1E54FA4B">
      <w:pPr>
        <w:ind w:firstLine="560" w:firstLineChars="200"/>
        <w:rPr>
          <w:rFonts w:hint="eastAsia" w:ascii="方正仿宋_GB2312" w:hAnsi="方正仿宋_GB2312" w:eastAsia="方正仿宋_GB2312" w:cs="方正仿宋_GB2312"/>
          <w:sz w:val="28"/>
          <w:szCs w:val="28"/>
          <w:lang w:val="en-US" w:eastAsia="zh-CN"/>
        </w:rPr>
      </w:pPr>
    </w:p>
    <w:p w14:paraId="2EDEB316">
      <w:pPr>
        <w:ind w:firstLine="560" w:firstLineChars="200"/>
        <w:rPr>
          <w:rFonts w:hint="eastAsia" w:ascii="方正仿宋_GB2312" w:hAnsi="方正仿宋_GB2312" w:eastAsia="方正仿宋_GB2312" w:cs="方正仿宋_GB2312"/>
          <w:sz w:val="28"/>
          <w:szCs w:val="28"/>
          <w:lang w:val="en-US" w:eastAsia="zh-CN"/>
        </w:rPr>
      </w:pPr>
    </w:p>
    <w:p w14:paraId="0F9E87D2">
      <w:pPr>
        <w:ind w:firstLine="560" w:firstLineChars="200"/>
        <w:rPr>
          <w:rFonts w:hint="eastAsia" w:ascii="方正仿宋_GB2312" w:hAnsi="方正仿宋_GB2312" w:eastAsia="方正仿宋_GB2312" w:cs="方正仿宋_GB2312"/>
          <w:sz w:val="28"/>
          <w:szCs w:val="28"/>
          <w:lang w:val="en-US" w:eastAsia="zh-CN"/>
        </w:rPr>
      </w:pPr>
    </w:p>
    <w:p w14:paraId="4BD03C74">
      <w:pPr>
        <w:ind w:firstLine="560" w:firstLineChars="200"/>
        <w:rPr>
          <w:rFonts w:hint="eastAsia" w:ascii="方正仿宋_GB2312" w:hAnsi="方正仿宋_GB2312" w:eastAsia="方正仿宋_GB2312" w:cs="方正仿宋_GB2312"/>
          <w:sz w:val="28"/>
          <w:szCs w:val="28"/>
          <w:lang w:val="en-US" w:eastAsia="zh-CN"/>
        </w:rPr>
      </w:pPr>
    </w:p>
    <w:p w14:paraId="6B5F7F9C">
      <w:pPr>
        <w:ind w:firstLine="560" w:firstLineChars="200"/>
        <w:rPr>
          <w:rFonts w:hint="eastAsia" w:ascii="方正仿宋_GB2312" w:hAnsi="方正仿宋_GB2312" w:eastAsia="方正仿宋_GB2312" w:cs="方正仿宋_GB2312"/>
          <w:sz w:val="28"/>
          <w:szCs w:val="28"/>
          <w:lang w:val="en-US" w:eastAsia="zh-CN"/>
        </w:rPr>
      </w:pPr>
    </w:p>
    <w:p w14:paraId="1D0DF3B1">
      <w:pPr>
        <w:ind w:firstLine="560" w:firstLineChars="200"/>
        <w:rPr>
          <w:rFonts w:hint="eastAsia" w:ascii="方正仿宋_GB2312" w:hAnsi="方正仿宋_GB2312" w:eastAsia="方正仿宋_GB2312" w:cs="方正仿宋_GB2312"/>
          <w:sz w:val="28"/>
          <w:szCs w:val="28"/>
          <w:lang w:val="en-US" w:eastAsia="zh-CN"/>
        </w:rPr>
      </w:pPr>
    </w:p>
    <w:p w14:paraId="313AA978">
      <w:pPr>
        <w:ind w:firstLine="480" w:firstLineChars="200"/>
        <w:rPr>
          <w:rFonts w:hint="eastAsia" w:ascii="方正仿宋_GB2312" w:hAnsi="方正仿宋_GB2312" w:eastAsia="方正仿宋_GB2312" w:cs="方正仿宋_GB2312"/>
          <w:sz w:val="28"/>
          <w:szCs w:val="28"/>
          <w:lang w:val="en-US" w:eastAsia="zh-CN"/>
        </w:rPr>
      </w:pPr>
      <w:r>
        <w:rPr>
          <w:rFonts w:hint="eastAsia" w:ascii="方正仿宋_GBK" w:hAnsi="方正仿宋_GBK" w:eastAsia="方正仿宋_GBK" w:cs="方正仿宋_GBK"/>
          <w:sz w:val="24"/>
          <w:szCs w:val="24"/>
          <w:lang w:val="en-US" w:eastAsia="zh-CN"/>
        </w:rPr>
        <w:t>（此页为合同签署页）</w:t>
      </w:r>
    </w:p>
    <w:p w14:paraId="3581068D">
      <w:pPr>
        <w:ind w:firstLine="560" w:firstLineChars="200"/>
        <w:rPr>
          <w:rFonts w:hint="eastAsia" w:ascii="方正仿宋_GB2312" w:hAnsi="方正仿宋_GB2312" w:eastAsia="方正仿宋_GB2312" w:cs="方正仿宋_GB2312"/>
          <w:sz w:val="28"/>
          <w:szCs w:val="28"/>
          <w:lang w:val="en-US" w:eastAsia="zh-CN"/>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0C584EEB">
        <w:tblPrEx>
          <w:tblCellMar>
            <w:top w:w="0" w:type="dxa"/>
            <w:left w:w="108" w:type="dxa"/>
            <w:bottom w:w="0" w:type="dxa"/>
            <w:right w:w="108" w:type="dxa"/>
          </w:tblCellMar>
        </w:tblPrEx>
        <w:trPr>
          <w:trHeight w:val="1379" w:hRule="atLeast"/>
          <w:jc w:val="center"/>
        </w:trPr>
        <w:tc>
          <w:tcPr>
            <w:tcW w:w="4313" w:type="dxa"/>
            <w:vAlign w:val="top"/>
          </w:tcPr>
          <w:p w14:paraId="69873817">
            <w:pPr>
              <w:tabs>
                <w:tab w:val="left" w:pos="4718"/>
              </w:tabs>
              <w:spacing w:line="360" w:lineRule="auto"/>
              <w:contextualSpacing/>
              <w:rPr>
                <w:rFonts w:hint="default" w:ascii="Times New Roman" w:hAnsi="Times New Roman" w:eastAsia="方正仿宋_GBK" w:cs="Times New Roman"/>
                <w:b/>
                <w:sz w:val="24"/>
                <w:szCs w:val="24"/>
                <w:u w:val="single"/>
              </w:rPr>
            </w:pPr>
            <w:r>
              <w:rPr>
                <w:rFonts w:hint="default" w:ascii="Times New Roman" w:hAnsi="Times New Roman" w:eastAsia="方正仿宋_GBK" w:cs="Times New Roman"/>
                <w:sz w:val="24"/>
                <w:szCs w:val="22"/>
                <w:highlight w:val="none"/>
                <w:lang w:eastAsia="zh-CN"/>
              </w:rPr>
              <w:t>甲    方：重庆环保投资集团有限公司（盖章）</w:t>
            </w:r>
          </w:p>
        </w:tc>
        <w:tc>
          <w:tcPr>
            <w:tcW w:w="4314" w:type="dxa"/>
            <w:vAlign w:val="top"/>
          </w:tcPr>
          <w:p w14:paraId="5FDDC455">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乙    方：（盖章）</w:t>
            </w:r>
          </w:p>
        </w:tc>
      </w:tr>
      <w:tr w14:paraId="5ED1BBD4">
        <w:tblPrEx>
          <w:tblCellMar>
            <w:top w:w="0" w:type="dxa"/>
            <w:left w:w="108" w:type="dxa"/>
            <w:bottom w:w="0" w:type="dxa"/>
            <w:right w:w="108" w:type="dxa"/>
          </w:tblCellMar>
        </w:tblPrEx>
        <w:trPr>
          <w:trHeight w:val="1417" w:hRule="atLeast"/>
          <w:jc w:val="center"/>
        </w:trPr>
        <w:tc>
          <w:tcPr>
            <w:tcW w:w="4313" w:type="dxa"/>
            <w:vAlign w:val="top"/>
          </w:tcPr>
          <w:p w14:paraId="2B3AE53F">
            <w:pPr>
              <w:tabs>
                <w:tab w:val="left" w:pos="4718"/>
              </w:tabs>
              <w:spacing w:line="360" w:lineRule="auto"/>
              <w:contextualSpacing/>
              <w:jc w:val="both"/>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z w:val="24"/>
                <w:szCs w:val="22"/>
                <w:highlight w:val="none"/>
                <w:lang w:eastAsia="zh-CN"/>
              </w:rPr>
              <w:t>公司地址：</w:t>
            </w:r>
            <w:r>
              <w:rPr>
                <w:rFonts w:hint="default" w:ascii="Times New Roman" w:hAnsi="Times New Roman" w:eastAsia="方正仿宋_GBK" w:cs="Times New Roman"/>
                <w:spacing w:val="-8"/>
                <w:position w:val="1"/>
                <w:sz w:val="24"/>
                <w:szCs w:val="20"/>
                <w:highlight w:val="none"/>
                <w:lang w:eastAsia="zh-CN"/>
              </w:rPr>
              <w:t>重庆市渝北区礼嘉街道礼环南路102号8号楼</w:t>
            </w:r>
          </w:p>
          <w:p w14:paraId="331AE900">
            <w:pPr>
              <w:tabs>
                <w:tab w:val="left" w:pos="4718"/>
              </w:tabs>
              <w:spacing w:line="360" w:lineRule="auto"/>
              <w:contextualSpacing/>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 xml:space="preserve"> </w:t>
            </w:r>
          </w:p>
        </w:tc>
        <w:tc>
          <w:tcPr>
            <w:tcW w:w="4314" w:type="dxa"/>
            <w:vAlign w:val="top"/>
          </w:tcPr>
          <w:p w14:paraId="590B7DF1">
            <w:pPr>
              <w:tabs>
                <w:tab w:val="left" w:pos="4718"/>
              </w:tabs>
              <w:spacing w:line="360" w:lineRule="auto"/>
              <w:contextualSpacing/>
              <w:jc w:val="both"/>
              <w:rPr>
                <w:rFonts w:hint="default" w:ascii="Times New Roman" w:hAnsi="Times New Roman" w:eastAsia="方正仿宋_GBK" w:cs="Times New Roman"/>
                <w:sz w:val="24"/>
                <w:szCs w:val="22"/>
                <w:highlight w:val="none"/>
                <w:lang w:eastAsia="zh-CN"/>
              </w:rPr>
            </w:pPr>
            <w:r>
              <w:rPr>
                <w:rFonts w:hint="default" w:ascii="Times New Roman" w:hAnsi="Times New Roman" w:eastAsia="方正仿宋_GBK" w:cs="Times New Roman"/>
                <w:sz w:val="24"/>
                <w:szCs w:val="22"/>
                <w:highlight w:val="none"/>
                <w:lang w:eastAsia="zh-CN"/>
              </w:rPr>
              <w:t>公司地址：</w:t>
            </w:r>
          </w:p>
          <w:p w14:paraId="7C236B79">
            <w:pPr>
              <w:tabs>
                <w:tab w:val="left" w:pos="4718"/>
              </w:tabs>
              <w:spacing w:line="360" w:lineRule="auto"/>
              <w:contextualSpacing/>
              <w:jc w:val="both"/>
              <w:rPr>
                <w:rFonts w:hint="default" w:ascii="Times New Roman" w:hAnsi="Times New Roman" w:eastAsia="方正仿宋_GBK" w:cs="Times New Roman"/>
                <w:sz w:val="24"/>
                <w:szCs w:val="24"/>
              </w:rPr>
            </w:pPr>
          </w:p>
        </w:tc>
      </w:tr>
      <w:tr w14:paraId="159CAB44">
        <w:tblPrEx>
          <w:tblCellMar>
            <w:top w:w="0" w:type="dxa"/>
            <w:left w:w="108" w:type="dxa"/>
            <w:bottom w:w="0" w:type="dxa"/>
            <w:right w:w="108" w:type="dxa"/>
          </w:tblCellMar>
        </w:tblPrEx>
        <w:trPr>
          <w:trHeight w:val="939" w:hRule="exact"/>
          <w:jc w:val="center"/>
        </w:trPr>
        <w:tc>
          <w:tcPr>
            <w:tcW w:w="4313" w:type="dxa"/>
            <w:vAlign w:val="top"/>
          </w:tcPr>
          <w:p w14:paraId="73FA234A">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c>
          <w:tcPr>
            <w:tcW w:w="4314" w:type="dxa"/>
            <w:vAlign w:val="top"/>
          </w:tcPr>
          <w:p w14:paraId="2D46DF02">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r>
      <w:tr w14:paraId="044AE92E">
        <w:tblPrEx>
          <w:tblCellMar>
            <w:top w:w="0" w:type="dxa"/>
            <w:left w:w="108" w:type="dxa"/>
            <w:bottom w:w="0" w:type="dxa"/>
            <w:right w:w="108" w:type="dxa"/>
          </w:tblCellMar>
        </w:tblPrEx>
        <w:trPr>
          <w:trHeight w:val="834" w:hRule="exact"/>
          <w:jc w:val="center"/>
        </w:trPr>
        <w:tc>
          <w:tcPr>
            <w:tcW w:w="4313" w:type="dxa"/>
            <w:vAlign w:val="top"/>
          </w:tcPr>
          <w:p w14:paraId="6253B6AC">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经 办 人：</w:t>
            </w:r>
          </w:p>
          <w:p w14:paraId="03EA4EA9">
            <w:pPr>
              <w:tabs>
                <w:tab w:val="left" w:pos="4718"/>
              </w:tabs>
              <w:spacing w:line="360" w:lineRule="auto"/>
              <w:contextualSpacing/>
              <w:rPr>
                <w:rFonts w:hint="default" w:ascii="Times New Roman" w:hAnsi="Times New Roman" w:eastAsia="方正仿宋_GBK" w:cs="Times New Roman"/>
                <w:sz w:val="24"/>
                <w:szCs w:val="24"/>
              </w:rPr>
            </w:pPr>
          </w:p>
        </w:tc>
        <w:tc>
          <w:tcPr>
            <w:tcW w:w="4314" w:type="dxa"/>
            <w:vAlign w:val="top"/>
          </w:tcPr>
          <w:p w14:paraId="14ED3648">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经 办 人：</w:t>
            </w:r>
          </w:p>
        </w:tc>
      </w:tr>
      <w:tr w14:paraId="6B480E6B">
        <w:tblPrEx>
          <w:tblCellMar>
            <w:top w:w="0" w:type="dxa"/>
            <w:left w:w="108" w:type="dxa"/>
            <w:bottom w:w="0" w:type="dxa"/>
            <w:right w:w="108" w:type="dxa"/>
          </w:tblCellMar>
        </w:tblPrEx>
        <w:trPr>
          <w:trHeight w:val="789" w:hRule="exact"/>
          <w:jc w:val="center"/>
        </w:trPr>
        <w:tc>
          <w:tcPr>
            <w:tcW w:w="4313" w:type="dxa"/>
            <w:vAlign w:val="top"/>
          </w:tcPr>
          <w:p w14:paraId="0880D1D7">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c>
          <w:tcPr>
            <w:tcW w:w="4314" w:type="dxa"/>
            <w:vAlign w:val="top"/>
          </w:tcPr>
          <w:p w14:paraId="7E0F334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r>
      <w:tr w14:paraId="65F0EA59">
        <w:tblPrEx>
          <w:tblCellMar>
            <w:top w:w="0" w:type="dxa"/>
            <w:left w:w="108" w:type="dxa"/>
            <w:bottom w:w="0" w:type="dxa"/>
            <w:right w:w="108" w:type="dxa"/>
          </w:tblCellMar>
        </w:tblPrEx>
        <w:trPr>
          <w:trHeight w:val="774" w:hRule="exact"/>
          <w:jc w:val="center"/>
        </w:trPr>
        <w:tc>
          <w:tcPr>
            <w:tcW w:w="4313" w:type="dxa"/>
            <w:vAlign w:val="top"/>
          </w:tcPr>
          <w:p w14:paraId="45693BAE">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c>
          <w:tcPr>
            <w:tcW w:w="4314" w:type="dxa"/>
            <w:vAlign w:val="top"/>
          </w:tcPr>
          <w:p w14:paraId="438C44C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r>
      <w:tr w14:paraId="47992E04">
        <w:tblPrEx>
          <w:tblCellMar>
            <w:top w:w="0" w:type="dxa"/>
            <w:left w:w="108" w:type="dxa"/>
            <w:bottom w:w="0" w:type="dxa"/>
            <w:right w:w="108" w:type="dxa"/>
          </w:tblCellMar>
        </w:tblPrEx>
        <w:trPr>
          <w:trHeight w:val="669" w:hRule="exact"/>
          <w:jc w:val="center"/>
        </w:trPr>
        <w:tc>
          <w:tcPr>
            <w:tcW w:w="4313" w:type="dxa"/>
            <w:vAlign w:val="top"/>
          </w:tcPr>
          <w:p w14:paraId="6E7E93FE">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传    真：</w:t>
            </w:r>
          </w:p>
        </w:tc>
        <w:tc>
          <w:tcPr>
            <w:tcW w:w="4314" w:type="dxa"/>
            <w:vAlign w:val="top"/>
          </w:tcPr>
          <w:p w14:paraId="01D89444">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传    真： </w:t>
            </w:r>
          </w:p>
        </w:tc>
      </w:tr>
      <w:tr w14:paraId="5D60E564">
        <w:tblPrEx>
          <w:tblCellMar>
            <w:top w:w="0" w:type="dxa"/>
            <w:left w:w="108" w:type="dxa"/>
            <w:bottom w:w="0" w:type="dxa"/>
            <w:right w:w="108" w:type="dxa"/>
          </w:tblCellMar>
        </w:tblPrEx>
        <w:trPr>
          <w:jc w:val="center"/>
        </w:trPr>
        <w:tc>
          <w:tcPr>
            <w:tcW w:w="4313" w:type="dxa"/>
            <w:vAlign w:val="top"/>
          </w:tcPr>
          <w:p w14:paraId="1E6095FF">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开户银行：重庆农村商业银行两江分</w:t>
            </w:r>
          </w:p>
          <w:p w14:paraId="3FBEF5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行北环支行</w:t>
            </w:r>
          </w:p>
        </w:tc>
        <w:tc>
          <w:tcPr>
            <w:tcW w:w="4314" w:type="dxa"/>
            <w:vAlign w:val="top"/>
          </w:tcPr>
          <w:p w14:paraId="6B595B24">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w:t>
            </w:r>
          </w:p>
          <w:p w14:paraId="6BDE5D19">
            <w:pPr>
              <w:tabs>
                <w:tab w:val="left" w:pos="4718"/>
              </w:tabs>
              <w:spacing w:line="360" w:lineRule="auto"/>
              <w:contextualSpacing/>
              <w:rPr>
                <w:rFonts w:hint="default" w:ascii="Times New Roman" w:hAnsi="Times New Roman" w:eastAsia="方正仿宋_GBK" w:cs="Times New Roman"/>
                <w:sz w:val="24"/>
                <w:szCs w:val="24"/>
              </w:rPr>
            </w:pPr>
          </w:p>
        </w:tc>
      </w:tr>
      <w:tr w14:paraId="0E6261C2">
        <w:tblPrEx>
          <w:tblCellMar>
            <w:top w:w="0" w:type="dxa"/>
            <w:left w:w="108" w:type="dxa"/>
            <w:bottom w:w="0" w:type="dxa"/>
            <w:right w:w="108" w:type="dxa"/>
          </w:tblCellMar>
        </w:tblPrEx>
        <w:trPr>
          <w:jc w:val="center"/>
        </w:trPr>
        <w:tc>
          <w:tcPr>
            <w:tcW w:w="4313" w:type="dxa"/>
            <w:vAlign w:val="top"/>
          </w:tcPr>
          <w:p w14:paraId="5492E0F9">
            <w:pPr>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账号：5109010120010000949</w:t>
            </w:r>
          </w:p>
        </w:tc>
        <w:tc>
          <w:tcPr>
            <w:tcW w:w="4314" w:type="dxa"/>
            <w:vAlign w:val="top"/>
          </w:tcPr>
          <w:p w14:paraId="612069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w:t>
            </w:r>
          </w:p>
        </w:tc>
      </w:tr>
    </w:tbl>
    <w:p w14:paraId="2AA0B089">
      <w:pPr>
        <w:pStyle w:val="6"/>
        <w:rPr>
          <w:color w:val="auto"/>
        </w:rPr>
      </w:pPr>
    </w:p>
    <w:p w14:paraId="34243358">
      <w:pPr>
        <w:rPr>
          <w:color w:val="auto"/>
        </w:rPr>
      </w:pPr>
    </w:p>
    <w:p w14:paraId="10020D5B">
      <w:pPr>
        <w:pStyle w:val="6"/>
        <w:rPr>
          <w:color w:val="auto"/>
        </w:rPr>
      </w:pPr>
    </w:p>
    <w:p w14:paraId="6C67254B">
      <w:pPr>
        <w:rPr>
          <w:color w:val="auto"/>
        </w:rPr>
      </w:pPr>
    </w:p>
    <w:p w14:paraId="65291E52">
      <w:pPr>
        <w:pStyle w:val="6"/>
        <w:rPr>
          <w:color w:val="auto"/>
        </w:rPr>
      </w:pPr>
    </w:p>
    <w:p w14:paraId="7E21329A">
      <w:pPr>
        <w:rPr>
          <w:color w:val="auto"/>
        </w:rPr>
      </w:pPr>
    </w:p>
    <w:p w14:paraId="4A2F12B5">
      <w:pPr>
        <w:pStyle w:val="6"/>
        <w:rPr>
          <w:color w:val="auto"/>
        </w:rPr>
      </w:pPr>
    </w:p>
    <w:p w14:paraId="42E73378">
      <w:pPr>
        <w:rPr>
          <w:color w:val="auto"/>
        </w:rPr>
      </w:pPr>
    </w:p>
    <w:p w14:paraId="21F6BA8C">
      <w:pPr>
        <w:pStyle w:val="6"/>
        <w:rPr>
          <w:color w:val="auto"/>
        </w:rPr>
      </w:pPr>
    </w:p>
    <w:p w14:paraId="1973A6A2">
      <w:pPr>
        <w:rPr>
          <w:color w:val="auto"/>
        </w:rPr>
      </w:pPr>
    </w:p>
    <w:p w14:paraId="40F3B218">
      <w:pPr>
        <w:pStyle w:val="6"/>
        <w:rPr>
          <w:color w:val="auto"/>
        </w:rPr>
      </w:pPr>
    </w:p>
    <w:p w14:paraId="64A86889">
      <w:pPr>
        <w:rPr>
          <w:color w:val="auto"/>
        </w:rPr>
      </w:pPr>
    </w:p>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7" w:name="_Toc224103477"/>
      <w:bookmarkStart w:id="228" w:name="_Toc287620798"/>
      <w:bookmarkStart w:id="229" w:name="_Toc277082638"/>
      <w:bookmarkStart w:id="230" w:name="_Toc430530514"/>
      <w:bookmarkStart w:id="231" w:name="_Toc287607856"/>
    </w:p>
    <w:p w14:paraId="23F0A541">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2" w:name="_Toc509218852"/>
      <w:bookmarkStart w:id="233" w:name="_Toc6982"/>
      <w:bookmarkStart w:id="234" w:name="_Toc430530528"/>
      <w:bookmarkStart w:id="235" w:name="_Toc534185829"/>
      <w:bookmarkStart w:id="236" w:name="_Toc877"/>
      <w:bookmarkStart w:id="237" w:name="_Toc57820646"/>
    </w:p>
    <w:p w14:paraId="66915B6B">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F143527">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52C14264">
      <w:pPr>
        <w:pStyle w:val="2"/>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2"/>
      <w:bookmarkEnd w:id="233"/>
      <w:bookmarkEnd w:id="234"/>
      <w:bookmarkEnd w:id="235"/>
      <w:bookmarkEnd w:id="236"/>
      <w:bookmarkEnd w:id="237"/>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7"/>
    <w:bookmarkEnd w:id="228"/>
    <w:bookmarkEnd w:id="229"/>
    <w:bookmarkEnd w:id="230"/>
    <w:bookmarkEnd w:id="231"/>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38297F80">
      <w:pPr>
        <w:rPr>
          <w:rFonts w:hint="eastAsia" w:ascii="宋体" w:hAnsi="宋体" w:eastAsia="宋体" w:cs="Times New Roman"/>
          <w:snapToGrid/>
          <w:color w:val="auto"/>
          <w:sz w:val="52"/>
          <w:szCs w:val="52"/>
          <w:highlight w:val="none"/>
          <w:lang w:val="en-US" w:eastAsia="zh-CN" w:bidi="ar-SA"/>
        </w:rPr>
      </w:pPr>
    </w:p>
    <w:p w14:paraId="2FADE530">
      <w:pPr>
        <w:rPr>
          <w:rFonts w:hint="eastAsia" w:ascii="宋体" w:hAnsi="宋体" w:eastAsia="宋体" w:cs="Times New Roman"/>
          <w:snapToGrid/>
          <w:color w:val="auto"/>
          <w:sz w:val="52"/>
          <w:szCs w:val="52"/>
          <w:highlight w:val="none"/>
          <w:lang w:val="en-US" w:eastAsia="zh-CN" w:bidi="ar-SA"/>
        </w:rPr>
      </w:pPr>
    </w:p>
    <w:p w14:paraId="4BCFB0E6">
      <w:pPr>
        <w:rPr>
          <w:rFonts w:hint="eastAsia" w:ascii="宋体" w:hAnsi="宋体" w:eastAsia="宋体" w:cs="Times New Roman"/>
          <w:snapToGrid/>
          <w:color w:val="auto"/>
          <w:sz w:val="52"/>
          <w:szCs w:val="52"/>
          <w:highlight w:val="none"/>
          <w:lang w:val="en-US" w:eastAsia="zh-CN" w:bidi="ar-SA"/>
        </w:rPr>
      </w:pPr>
    </w:p>
    <w:p w14:paraId="78B97467">
      <w:pPr>
        <w:pStyle w:val="6"/>
        <w:rPr>
          <w:rFonts w:hint="eastAsia" w:ascii="宋体" w:hAnsi="宋体" w:eastAsia="宋体" w:cs="Times New Roman"/>
          <w:snapToGrid/>
          <w:color w:val="auto"/>
          <w:sz w:val="52"/>
          <w:szCs w:val="52"/>
          <w:highlight w:val="none"/>
          <w:lang w:val="en-US" w:eastAsia="zh-CN" w:bidi="ar-SA"/>
        </w:rPr>
      </w:pPr>
    </w:p>
    <w:p w14:paraId="6C32C09F">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E71076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5E2501AE">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一、竞选函部分</w:t>
      </w:r>
    </w:p>
    <w:p w14:paraId="73800670">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二、商务部分</w:t>
      </w:r>
    </w:p>
    <w:p w14:paraId="3D14DDB8">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三、技术部分</w:t>
      </w:r>
    </w:p>
    <w:p w14:paraId="7D409CE3">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四、资格审查部分</w:t>
      </w:r>
    </w:p>
    <w:p w14:paraId="7FB41DC3">
      <w:pPr>
        <w:spacing w:line="460" w:lineRule="exact"/>
        <w:ind w:firstLine="849" w:firstLineChars="354"/>
        <w:rPr>
          <w:rFonts w:hint="eastAsia" w:ascii="方正仿宋_GB18030" w:hAnsi="方正仿宋_GB18030" w:eastAsia="方正仿宋_GB18030" w:cs="方正仿宋_GB18030"/>
          <w:sz w:val="24"/>
          <w:szCs w:val="28"/>
        </w:rPr>
      </w:pP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3"/>
        <w:widowControl w:val="0"/>
        <w:numPr>
          <w:ilvl w:val="0"/>
          <w:numId w:val="2"/>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38" w:name="_Toc57820647"/>
      <w:bookmarkStart w:id="239" w:name="_Toc26311"/>
      <w:bookmarkStart w:id="240" w:name="_Toc16324"/>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38"/>
      <w:bookmarkEnd w:id="239"/>
      <w:bookmarkEnd w:id="240"/>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4"/>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1"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1"/>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）的竞选报价完成工作，并按合同约定履行义务。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（3）按照比选文件要求提交履约保证金（若有）；</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4B54DF0E">
      <w:pPr>
        <w:ind w:left="48" w:leftChars="23" w:right="105"/>
        <w:jc w:val="left"/>
      </w:pPr>
    </w:p>
    <w:p w14:paraId="276CAF6B">
      <w:pPr>
        <w:pStyle w:val="6"/>
        <w:rPr>
          <w:rFonts w:hint="eastAsia"/>
          <w:color w:val="auto"/>
          <w:lang w:val="en-US" w:eastAsia="zh-CN"/>
        </w:rPr>
      </w:pPr>
    </w:p>
    <w:p w14:paraId="62D5404F">
      <w:pPr>
        <w:numPr>
          <w:ilvl w:val="0"/>
          <w:numId w:val="3"/>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64BFB0EA">
      <w:pPr>
        <w:numPr>
          <w:ilvl w:val="0"/>
          <w:numId w:val="4"/>
        </w:numPr>
        <w:ind w:left="105" w:right="105"/>
        <w:jc w:val="left"/>
        <w:outlineLvl w:val="2"/>
        <w:rPr>
          <w:rFonts w:hint="eastAsia" w:ascii="方正仿宋_GBK" w:hAnsi="方正仿宋_GBK" w:eastAsia="方正仿宋_GBK" w:cs="Times New Roman"/>
          <w:sz w:val="28"/>
          <w:szCs w:val="20"/>
          <w:highlight w:val="none"/>
        </w:rPr>
      </w:pPr>
      <w:r>
        <w:rPr>
          <w:rFonts w:hint="eastAsia" w:ascii="方正仿宋_GBK" w:hAnsi="方正仿宋_GBK" w:eastAsia="方正仿宋_GBK" w:cs="Times New Roman"/>
          <w:sz w:val="28"/>
          <w:szCs w:val="20"/>
          <w:highlight w:val="none"/>
        </w:rPr>
        <w:t>分项报价明细表</w:t>
      </w:r>
    </w:p>
    <w:p w14:paraId="3CD2E61D">
      <w:pPr>
        <w:numPr>
          <w:ilvl w:val="0"/>
          <w:numId w:val="5"/>
        </w:numPr>
        <w:ind w:right="105" w:rightChars="50"/>
        <w:jc w:val="left"/>
        <w:outlineLvl w:val="2"/>
        <w:rPr>
          <w:rFonts w:hint="eastAsia" w:ascii="方正仿宋_GBK" w:hAnsi="方正仿宋_GBK" w:eastAsia="方正仿宋_GBK" w:cs="Times New Roman"/>
          <w:sz w:val="28"/>
          <w:szCs w:val="20"/>
          <w:highlight w:val="none"/>
          <w:lang w:val="en-US" w:eastAsia="zh-CN"/>
        </w:rPr>
      </w:pPr>
      <w:r>
        <w:rPr>
          <w:rFonts w:hint="eastAsia" w:ascii="方正仿宋_GBK" w:hAnsi="方正仿宋_GBK" w:eastAsia="方正仿宋_GBK" w:cs="Times New Roman"/>
          <w:sz w:val="28"/>
          <w:szCs w:val="20"/>
          <w:highlight w:val="none"/>
          <w:lang w:val="en-US" w:eastAsia="zh-CN"/>
        </w:rPr>
        <w:t>项目清单及报价明细表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96"/>
        <w:gridCol w:w="1680"/>
        <w:gridCol w:w="1392"/>
        <w:gridCol w:w="1255"/>
        <w:gridCol w:w="1169"/>
      </w:tblGrid>
      <w:tr w14:paraId="077C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8" w:type="dxa"/>
            <w:vAlign w:val="center"/>
          </w:tcPr>
          <w:p w14:paraId="6AB29838">
            <w:pPr>
              <w:widowControl w:val="0"/>
              <w:topLinePunct/>
              <w:snapToGrid w:val="0"/>
              <w:ind w:right="105"/>
              <w:contextualSpacing/>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序号</w:t>
            </w:r>
          </w:p>
        </w:tc>
        <w:tc>
          <w:tcPr>
            <w:tcW w:w="1896" w:type="dxa"/>
            <w:vAlign w:val="center"/>
          </w:tcPr>
          <w:p w14:paraId="1481E35D">
            <w:pPr>
              <w:widowControl w:val="0"/>
              <w:topLinePunct/>
              <w:snapToGrid w:val="0"/>
              <w:ind w:right="105"/>
              <w:contextualSpacing/>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项目名称</w:t>
            </w:r>
          </w:p>
        </w:tc>
        <w:tc>
          <w:tcPr>
            <w:tcW w:w="1680" w:type="dxa"/>
            <w:vAlign w:val="center"/>
          </w:tcPr>
          <w:p w14:paraId="04DA0C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lang w:val="en-US" w:eastAsia="zh-CN"/>
              </w:rPr>
              <w:t>工作内容</w:t>
            </w:r>
          </w:p>
        </w:tc>
        <w:tc>
          <w:tcPr>
            <w:tcW w:w="1392" w:type="dxa"/>
            <w:vAlign w:val="center"/>
          </w:tcPr>
          <w:p w14:paraId="49E220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含税限价（元）</w:t>
            </w:r>
          </w:p>
        </w:tc>
        <w:tc>
          <w:tcPr>
            <w:tcW w:w="1255" w:type="dxa"/>
            <w:vAlign w:val="center"/>
          </w:tcPr>
          <w:p w14:paraId="6B2E3D76">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含税报价</w:t>
            </w:r>
          </w:p>
          <w:p w14:paraId="69B16CF9">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（元）</w:t>
            </w:r>
          </w:p>
        </w:tc>
        <w:tc>
          <w:tcPr>
            <w:tcW w:w="1169" w:type="dxa"/>
            <w:vAlign w:val="center"/>
          </w:tcPr>
          <w:p w14:paraId="2198C6C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备注</w:t>
            </w:r>
          </w:p>
        </w:tc>
      </w:tr>
      <w:tr w14:paraId="1953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8" w:type="dxa"/>
            <w:vAlign w:val="center"/>
          </w:tcPr>
          <w:p w14:paraId="53D54568">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p>
        </w:tc>
        <w:tc>
          <w:tcPr>
            <w:tcW w:w="1896" w:type="dxa"/>
            <w:vAlign w:val="center"/>
          </w:tcPr>
          <w:p w14:paraId="5A0F6047">
            <w:pPr>
              <w:widowControl w:val="0"/>
              <w:topLinePunct/>
              <w:snapToGrid w:val="0"/>
              <w:ind w:left="0" w:leftChars="0" w:right="105" w:firstLine="0" w:firstLineChars="0"/>
              <w:contextualSpacing/>
              <w:jc w:val="center"/>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重庆环保投资集团有限公司渝东南环境治理分公司人事档案服务</w:t>
            </w:r>
          </w:p>
          <w:p w14:paraId="0EFA22FD">
            <w:pPr>
              <w:widowControl w:val="0"/>
              <w:topLinePunct/>
              <w:snapToGrid w:val="0"/>
              <w:ind w:left="0" w:leftChars="0" w:right="105" w:firstLine="0" w:firstLineChars="0"/>
              <w:contextualSpacing/>
              <w:jc w:val="center"/>
              <w:rPr>
                <w:rFonts w:hint="eastAsia" w:ascii="仿宋" w:hAnsi="仿宋" w:eastAsia="仿宋" w:cs="仿宋"/>
                <w:i w:val="0"/>
                <w:iCs w:val="0"/>
                <w:sz w:val="20"/>
                <w:szCs w:val="20"/>
                <w:highlight w:val="none"/>
                <w:lang w:val="en-US" w:eastAsia="zh-CN"/>
              </w:rPr>
            </w:pPr>
          </w:p>
        </w:tc>
        <w:tc>
          <w:tcPr>
            <w:tcW w:w="1680" w:type="dxa"/>
            <w:vAlign w:val="center"/>
          </w:tcPr>
          <w:p w14:paraId="4F8CCAAF">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r>
              <w:rPr>
                <w:rFonts w:hint="eastAsia" w:ascii="方正仿宋_GBK" w:hAnsi="方正仿宋_GBK" w:eastAsia="方正仿宋_GBK" w:cs="方正仿宋_GBK"/>
                <w:szCs w:val="32"/>
                <w:lang w:val="en-US" w:eastAsia="zh-CN"/>
              </w:rPr>
              <w:t>人事档案审查</w:t>
            </w:r>
          </w:p>
        </w:tc>
        <w:tc>
          <w:tcPr>
            <w:tcW w:w="1392" w:type="dxa"/>
            <w:vAlign w:val="center"/>
          </w:tcPr>
          <w:p w14:paraId="6FDC8FFF">
            <w:pPr>
              <w:widowControl w:val="0"/>
              <w:topLinePunct/>
              <w:snapToGrid w:val="0"/>
              <w:ind w:right="105"/>
              <w:contextualSpacing/>
              <w:jc w:val="center"/>
              <w:rPr>
                <w:rFonts w:hint="default" w:ascii="仿宋" w:hAnsi="仿宋" w:eastAsia="仿宋" w:cs="仿宋"/>
                <w:sz w:val="20"/>
                <w:szCs w:val="20"/>
                <w:highlight w:val="none"/>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7560</w:t>
            </w:r>
          </w:p>
        </w:tc>
        <w:tc>
          <w:tcPr>
            <w:tcW w:w="1255" w:type="dxa"/>
            <w:vAlign w:val="center"/>
          </w:tcPr>
          <w:p w14:paraId="66261CEB">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2CAAFC6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r w14:paraId="5E3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8" w:type="dxa"/>
            <w:vAlign w:val="center"/>
          </w:tcPr>
          <w:p w14:paraId="05452177">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1896" w:type="dxa"/>
            <w:vAlign w:val="center"/>
          </w:tcPr>
          <w:p w14:paraId="2F6773B5">
            <w:pPr>
              <w:widowControl w:val="0"/>
              <w:topLinePunct/>
              <w:snapToGrid w:val="0"/>
              <w:ind w:left="0" w:leftChars="0" w:right="105" w:firstLine="0" w:firstLineChars="0"/>
              <w:contextualSpacing/>
              <w:jc w:val="center"/>
              <w:rPr>
                <w:rFonts w:hint="eastAsia" w:ascii="仿宋" w:hAnsi="仿宋" w:eastAsia="仿宋" w:cs="仿宋"/>
                <w:i w:val="0"/>
                <w:iCs w:val="0"/>
                <w:sz w:val="20"/>
                <w:szCs w:val="20"/>
                <w:highlight w:val="none"/>
                <w:lang w:val="en-US" w:eastAsia="zh-CN"/>
              </w:rPr>
            </w:pPr>
            <w:r>
              <w:rPr>
                <w:rFonts w:hint="eastAsia" w:ascii="仿宋" w:hAnsi="仿宋" w:eastAsia="仿宋" w:cs="仿宋"/>
                <w:i w:val="0"/>
                <w:iCs w:val="0"/>
                <w:sz w:val="20"/>
                <w:szCs w:val="20"/>
                <w:highlight w:val="none"/>
                <w:lang w:val="en-US" w:eastAsia="zh-CN"/>
              </w:rPr>
              <w:t>合计</w:t>
            </w:r>
          </w:p>
        </w:tc>
        <w:tc>
          <w:tcPr>
            <w:tcW w:w="1680" w:type="dxa"/>
            <w:vAlign w:val="center"/>
          </w:tcPr>
          <w:p w14:paraId="0260E0EB">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p>
        </w:tc>
        <w:tc>
          <w:tcPr>
            <w:tcW w:w="1392" w:type="dxa"/>
            <w:vAlign w:val="center"/>
          </w:tcPr>
          <w:p w14:paraId="78B5CA5D">
            <w:pPr>
              <w:widowControl w:val="0"/>
              <w:topLinePunct/>
              <w:snapToGrid w:val="0"/>
              <w:ind w:right="105"/>
              <w:contextualSpacing/>
              <w:jc w:val="center"/>
              <w:rPr>
                <w:rFonts w:hint="default" w:ascii="仿宋" w:hAnsi="仿宋" w:eastAsia="仿宋" w:cs="仿宋"/>
                <w:sz w:val="20"/>
                <w:szCs w:val="20"/>
                <w:highlight w:val="none"/>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7560</w:t>
            </w:r>
          </w:p>
        </w:tc>
        <w:tc>
          <w:tcPr>
            <w:tcW w:w="1255" w:type="dxa"/>
            <w:vAlign w:val="center"/>
          </w:tcPr>
          <w:p w14:paraId="5DFB763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12C30E95">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bl>
    <w:p w14:paraId="4D49ECF5">
      <w:pPr>
        <w:ind w:left="105" w:right="105"/>
        <w:rPr>
          <w:rFonts w:hint="default" w:ascii="方正仿宋_GBK" w:hAnsi="方正仿宋_GBK" w:eastAsia="方正仿宋_GBK" w:cs="Times New Roman"/>
          <w:sz w:val="24"/>
          <w:szCs w:val="18"/>
          <w:lang w:val="en-US" w:eastAsia="zh-CN"/>
        </w:rPr>
      </w:pPr>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w:t>
      </w:r>
      <w:r>
        <w:rPr>
          <w:rFonts w:hint="eastAsia" w:ascii="方正仿宋_GBK" w:hAnsi="方正仿宋_GBK" w:eastAsia="方正仿宋_GBK" w:cs="Times New Roman"/>
          <w:sz w:val="28"/>
          <w:szCs w:val="20"/>
          <w:lang w:eastAsia="zh-CN"/>
        </w:rPr>
        <w:t>报价增值税构成</w:t>
      </w:r>
      <w:r>
        <w:rPr>
          <w:rFonts w:hint="eastAsia" w:ascii="方正仿宋_GBK" w:hAnsi="方正仿宋_GBK" w:eastAsia="方正仿宋_GBK" w:cs="Times New Roman"/>
          <w:sz w:val="28"/>
          <w:szCs w:val="20"/>
        </w:rPr>
        <w:t>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11A71F6">
      <w:pPr>
        <w:rPr>
          <w:rFonts w:hint="eastAsia"/>
          <w:color w:val="auto"/>
          <w:lang w:val="en-US" w:eastAsia="zh-CN"/>
        </w:rPr>
      </w:pPr>
    </w:p>
    <w:p w14:paraId="4FC1CD7C">
      <w:pPr>
        <w:rPr>
          <w:rFonts w:hint="eastAsia"/>
          <w:color w:val="auto"/>
          <w:lang w:val="en-US" w:eastAsia="zh-CN"/>
        </w:rPr>
      </w:pPr>
    </w:p>
    <w:p w14:paraId="30FCD17F">
      <w:pPr>
        <w:rPr>
          <w:rFonts w:hint="eastAsia"/>
          <w:color w:val="auto"/>
          <w:lang w:val="en-US" w:eastAsia="zh-CN"/>
        </w:rPr>
      </w:pPr>
    </w:p>
    <w:p w14:paraId="3D9B99DA">
      <w:pPr>
        <w:rPr>
          <w:rFonts w:hint="eastAsia"/>
          <w:color w:val="auto"/>
          <w:lang w:val="en-US" w:eastAsia="zh-CN"/>
        </w:rPr>
      </w:pPr>
    </w:p>
    <w:p w14:paraId="449FFF08">
      <w:pPr>
        <w:rPr>
          <w:rFonts w:hint="eastAsia"/>
          <w:color w:val="auto"/>
          <w:lang w:val="en-US" w:eastAsia="zh-CN"/>
        </w:rPr>
      </w:pPr>
    </w:p>
    <w:p w14:paraId="24F5BC80">
      <w:pPr>
        <w:rPr>
          <w:rFonts w:hint="eastAsia"/>
          <w:color w:val="auto"/>
          <w:lang w:val="en-US" w:eastAsia="zh-CN"/>
        </w:rPr>
      </w:pPr>
    </w:p>
    <w:p w14:paraId="502476FB">
      <w:pPr>
        <w:rPr>
          <w:rFonts w:hint="eastAsia"/>
          <w:color w:val="auto"/>
          <w:lang w:val="en-US" w:eastAsia="zh-CN"/>
        </w:rPr>
      </w:pPr>
    </w:p>
    <w:p w14:paraId="5F3810EC">
      <w:pPr>
        <w:rPr>
          <w:rFonts w:hint="eastAsia"/>
          <w:color w:val="auto"/>
          <w:lang w:val="en-US" w:eastAsia="zh-CN"/>
        </w:rPr>
      </w:pPr>
    </w:p>
    <w:p w14:paraId="7D5C6235">
      <w:pPr>
        <w:rPr>
          <w:rFonts w:hint="eastAsia"/>
          <w:color w:val="auto"/>
          <w:lang w:val="en-US" w:eastAsia="zh-CN"/>
        </w:rPr>
      </w:pPr>
    </w:p>
    <w:p w14:paraId="09DEAB16">
      <w:pPr>
        <w:rPr>
          <w:rFonts w:hint="eastAsia"/>
          <w:color w:val="auto"/>
          <w:lang w:val="en-US" w:eastAsia="zh-CN"/>
        </w:rPr>
      </w:pPr>
    </w:p>
    <w:p w14:paraId="3E1804D4">
      <w:pPr>
        <w:rPr>
          <w:rFonts w:hint="eastAsia"/>
          <w:color w:val="auto"/>
          <w:lang w:val="en-US" w:eastAsia="zh-CN"/>
        </w:rPr>
      </w:pPr>
    </w:p>
    <w:p w14:paraId="2AB21ABC">
      <w:pPr>
        <w:rPr>
          <w:rFonts w:hint="eastAsia"/>
          <w:color w:val="auto"/>
          <w:lang w:val="en-US" w:eastAsia="zh-CN"/>
        </w:rPr>
      </w:pPr>
    </w:p>
    <w:p w14:paraId="63088FF4">
      <w:pPr>
        <w:rPr>
          <w:rFonts w:hint="eastAsia"/>
          <w:color w:val="auto"/>
          <w:lang w:val="en-US" w:eastAsia="zh-CN"/>
        </w:rPr>
      </w:pPr>
    </w:p>
    <w:p w14:paraId="5676F6CC">
      <w:pPr>
        <w:rPr>
          <w:rFonts w:hint="eastAsia"/>
          <w:color w:val="auto"/>
          <w:lang w:val="en-US" w:eastAsia="zh-CN"/>
        </w:rPr>
      </w:pPr>
    </w:p>
    <w:p w14:paraId="77132FBC">
      <w:pPr>
        <w:rPr>
          <w:rFonts w:hint="eastAsia"/>
          <w:color w:val="auto"/>
          <w:lang w:val="en-US" w:eastAsia="zh-CN"/>
        </w:rPr>
      </w:pPr>
    </w:p>
    <w:p w14:paraId="2BC9734C">
      <w:pPr>
        <w:rPr>
          <w:rFonts w:hint="eastAsia"/>
          <w:color w:val="auto"/>
          <w:lang w:val="en-US" w:eastAsia="zh-CN"/>
        </w:rPr>
      </w:pPr>
    </w:p>
    <w:p w14:paraId="35CF71F7">
      <w:pPr>
        <w:rPr>
          <w:rFonts w:hint="eastAsia"/>
          <w:color w:val="auto"/>
          <w:lang w:val="en-US" w:eastAsia="zh-CN"/>
        </w:rPr>
      </w:pPr>
    </w:p>
    <w:p w14:paraId="59F5FCA9">
      <w:pPr>
        <w:rPr>
          <w:rFonts w:hint="eastAsia"/>
          <w:color w:val="auto"/>
          <w:lang w:val="en-US" w:eastAsia="zh-CN"/>
        </w:rPr>
      </w:pPr>
    </w:p>
    <w:p w14:paraId="2D6D9C14">
      <w:pPr>
        <w:rPr>
          <w:rFonts w:hint="eastAsia"/>
          <w:color w:val="auto"/>
          <w:lang w:val="en-US" w:eastAsia="zh-CN"/>
        </w:rPr>
      </w:pPr>
    </w:p>
    <w:p w14:paraId="0AD16F59">
      <w:pPr>
        <w:rPr>
          <w:rFonts w:hint="eastAsia"/>
          <w:color w:val="auto"/>
          <w:lang w:val="en-US" w:eastAsia="zh-CN"/>
        </w:rPr>
      </w:pPr>
    </w:p>
    <w:p w14:paraId="0308E667">
      <w:pPr>
        <w:rPr>
          <w:rFonts w:hint="eastAsia"/>
          <w:color w:val="auto"/>
          <w:lang w:val="en-US" w:eastAsia="zh-CN"/>
        </w:rPr>
      </w:pPr>
    </w:p>
    <w:p w14:paraId="5C649B84">
      <w:pPr>
        <w:rPr>
          <w:rFonts w:hint="eastAsia"/>
          <w:color w:val="auto"/>
          <w:lang w:val="en-US" w:eastAsia="zh-CN"/>
        </w:rPr>
      </w:pP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r>
        <w:rPr>
          <w:rFonts w:hint="eastAsia" w:ascii="方正仿宋_GBK" w:hAnsi="方正仿宋_GBK" w:eastAsia="方正仿宋_GBK" w:cs="Times New Roman"/>
          <w:b/>
          <w:bCs/>
          <w:snapToGrid/>
          <w:kern w:val="2"/>
          <w:sz w:val="32"/>
          <w:szCs w:val="32"/>
          <w:highlight w:val="none"/>
          <w:lang w:val="en-US" w:eastAsia="zh-CN" w:bidi="ar-SA"/>
        </w:rPr>
        <w:t>（三）法定代表人身份证明</w:t>
      </w:r>
    </w:p>
    <w:p w14:paraId="1BBEA77F">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2" w:name="_Toc9052"/>
      <w:r>
        <w:rPr>
          <w:rFonts w:hint="eastAsia" w:ascii="方正仿宋_GBK" w:hAnsi="方正仿宋_GBK" w:eastAsia="方正仿宋_GBK" w:cs="Times New Roman"/>
          <w:b/>
          <w:bCs/>
          <w:snapToGrid/>
          <w:kern w:val="2"/>
          <w:sz w:val="32"/>
          <w:szCs w:val="32"/>
          <w:highlight w:val="none"/>
          <w:lang w:val="en-US" w:eastAsia="zh-CN" w:bidi="ar-SA"/>
        </w:rPr>
        <w:t>（四）</w:t>
      </w:r>
      <w:bookmarkEnd w:id="242"/>
      <w:r>
        <w:rPr>
          <w:rFonts w:hint="eastAsia" w:ascii="方正仿宋_GBK" w:hAnsi="方正仿宋_GBK" w:eastAsia="方正仿宋_GBK" w:cs="Times New Roman"/>
          <w:b/>
          <w:bCs/>
          <w:snapToGrid/>
          <w:kern w:val="2"/>
          <w:sz w:val="32"/>
          <w:szCs w:val="32"/>
          <w:highlight w:val="none"/>
          <w:lang w:val="en-US" w:eastAsia="zh-CN" w:bidi="ar-SA"/>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2C438403">
      <w:pPr>
        <w:pStyle w:val="3"/>
        <w:spacing w:before="0" w:after="0" w:line="360" w:lineRule="auto"/>
        <w:ind w:left="0" w:leftChars="0" w:right="105" w:rightChars="0"/>
        <w:jc w:val="center"/>
        <w:rPr>
          <w:rFonts w:ascii="方正仿宋_GBK" w:hAnsi="方正仿宋_GBK" w:eastAsia="方正仿宋_GBK" w:cs="Times New Roman"/>
          <w:b w:val="0"/>
          <w:sz w:val="44"/>
          <w:szCs w:val="44"/>
          <w:highlight w:val="none"/>
        </w:rPr>
      </w:pPr>
      <w:bookmarkStart w:id="243" w:name="_Toc57796015"/>
      <w:bookmarkStart w:id="244" w:name="_Toc6696"/>
      <w:bookmarkStart w:id="245" w:name="_Toc5358"/>
      <w:r>
        <w:rPr>
          <w:rFonts w:hint="eastAsia" w:ascii="方正仿宋_GBK" w:hAnsi="方正仿宋_GBK" w:eastAsia="方正仿宋_GBK" w:cs="Times New Roman"/>
          <w:b w:val="0"/>
          <w:sz w:val="44"/>
          <w:szCs w:val="44"/>
          <w:highlight w:val="none"/>
        </w:rPr>
        <w:t>二、商务部分</w:t>
      </w:r>
      <w:bookmarkEnd w:id="243"/>
      <w:bookmarkEnd w:id="244"/>
      <w:bookmarkEnd w:id="245"/>
    </w:p>
    <w:p w14:paraId="5DACBED9">
      <w:pPr>
        <w:tabs>
          <w:tab w:val="left" w:pos="1680"/>
          <w:tab w:val="left" w:pos="4215"/>
          <w:tab w:val="left" w:pos="4305"/>
          <w:tab w:val="left" w:pos="8000"/>
        </w:tabs>
        <w:ind w:right="105"/>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F6E8AB5">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1.营业执照：复印件加盖公章。</w:t>
      </w:r>
    </w:p>
    <w:p w14:paraId="5D98CB7A">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2.资质证书：复印件加盖公章。</w:t>
      </w:r>
    </w:p>
    <w:p w14:paraId="29A082D6">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3.类似业绩：合同复印件加盖公章。</w:t>
      </w:r>
    </w:p>
    <w:p w14:paraId="21BE093E">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4.财务状况：提供2023年1月1日起至竞选文件投递截止时间的财务状况良好承诺书（格式自拟）。</w:t>
      </w:r>
    </w:p>
    <w:p w14:paraId="0BF9FFDC">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5.信誉承诺：提供信誉良好承诺书（格式自拟），承诺无失信、无违法、无行贿等情形。</w:t>
      </w:r>
    </w:p>
    <w:p w14:paraId="799DB4C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6.项目人员配置：完成本项目的负责人和项目成员的简历、职称证书（工程师及以上）、执业资格证、社保证明（投标截止前3个月内任意一月，必须加盖</w:t>
      </w:r>
      <w:r>
        <w:rPr>
          <w:rFonts w:hint="default" w:ascii="方正仿宋_GBK" w:hAnsi="方正仿宋_GBK" w:eastAsia="方正仿宋_GBK" w:cs="宋体"/>
          <w:highlight w:val="none"/>
          <w:lang w:val="en-US" w:eastAsia="zh-CN"/>
        </w:rPr>
        <w:t>社保中心公章或社保中心参保缴费证明电子专用章</w:t>
      </w:r>
      <w:r>
        <w:rPr>
          <w:rFonts w:hint="eastAsia" w:ascii="方正仿宋_GBK" w:hAnsi="方正仿宋_GBK" w:eastAsia="方正仿宋_GBK" w:cs="宋体"/>
          <w:highlight w:val="none"/>
          <w:lang w:val="en-US" w:eastAsia="zh-CN"/>
        </w:rPr>
        <w:t>，且社保证明上显示的缴费单位须与竞选人单位名称一致）等。</w:t>
      </w:r>
    </w:p>
    <w:p w14:paraId="54CB7BE4">
      <w:pPr>
        <w:tabs>
          <w:tab w:val="left" w:pos="1680"/>
          <w:tab w:val="left" w:pos="4215"/>
          <w:tab w:val="left" w:pos="4305"/>
          <w:tab w:val="left" w:pos="8000"/>
        </w:tabs>
        <w:ind w:left="525" w:leftChars="250" w:right="105" w:firstLine="0" w:firstLineChars="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特别说明：</w:t>
      </w:r>
    </w:p>
    <w:p w14:paraId="31644F6C">
      <w:pPr>
        <w:tabs>
          <w:tab w:val="left" w:pos="1680"/>
          <w:tab w:val="left" w:pos="4215"/>
          <w:tab w:val="left" w:pos="4305"/>
          <w:tab w:val="left" w:pos="8000"/>
        </w:tabs>
        <w:ind w:right="105" w:firstLine="420" w:firstLineChars="200"/>
        <w:rPr>
          <w:rFonts w:hint="eastAsia" w:ascii="方正仿宋_GBK" w:hAnsi="方正仿宋_GBK" w:eastAsia="方正仿宋_GBK" w:cs="宋体"/>
          <w:highlight w:val="none"/>
          <w:lang w:val="en-US" w:eastAsia="zh-CN"/>
        </w:rPr>
      </w:pPr>
      <w:r>
        <w:rPr>
          <w:rFonts w:hint="default" w:ascii="方正仿宋_GBK" w:hAnsi="方正仿宋_GBK" w:eastAsia="方正仿宋_GBK" w:cs="宋体"/>
          <w:highlight w:val="none"/>
          <w:lang w:val="en-US" w:eastAsia="zh-CN"/>
        </w:rPr>
        <w:t>（1）若竞选人成立不足三个月，无法提供社保证明的，须提供书面说明（格式自拟）及拟派人员劳动合同。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（2）若项目人员为退休返聘人员，应提供退休证复印件及聘用合同。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（3）或提供有人事管理权的上级主管部门出具的劳动关系证明。</w:t>
      </w:r>
    </w:p>
    <w:p w14:paraId="2F42B70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7.其他证明材料：</w:t>
      </w:r>
      <w:r>
        <w:rPr>
          <w:rFonts w:hint="eastAsia" w:ascii="方正仿宋_GBK" w:hAnsi="方正仿宋_GBK" w:eastAsia="方正仿宋_GBK" w:cs="宋体"/>
          <w:highlight w:val="none"/>
        </w:rPr>
        <w:t>公司荣誉奖项、质量管理体系认证、用户评价等</w:t>
      </w:r>
      <w:r>
        <w:rPr>
          <w:rFonts w:hint="eastAsia" w:ascii="方正仿宋_GBK" w:hAnsi="方正仿宋_GBK" w:eastAsia="方正仿宋_GBK" w:cs="宋体"/>
          <w:highlight w:val="none"/>
          <w:lang w:eastAsia="zh-CN"/>
        </w:rPr>
        <w:t>。</w:t>
      </w:r>
    </w:p>
    <w:p w14:paraId="18268749">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备注：1-6项资料为必须提供的资料。7项资料竞选人结合自身情况考虑提供。所有复印件及承诺文件须加盖清晰、完整、可识别的单位公章，印章模糊、无法识别或遮挡关键信息的，按无效响应处理，并由竞选人自行承担一切后果。</w:t>
      </w:r>
    </w:p>
    <w:p w14:paraId="56AAF561">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FADA4C2">
      <w:pPr>
        <w:pStyle w:val="3"/>
        <w:spacing w:before="0" w:after="0" w:line="360" w:lineRule="auto"/>
        <w:ind w:left="105" w:right="105"/>
        <w:jc w:val="center"/>
        <w:rPr>
          <w:rFonts w:ascii="方正仿宋_GBK" w:hAnsi="方正仿宋_GBK" w:eastAsia="方正仿宋_GBK"/>
          <w:b w:val="0"/>
          <w:sz w:val="44"/>
          <w:szCs w:val="44"/>
          <w:highlight w:val="none"/>
        </w:rPr>
      </w:pPr>
      <w:bookmarkStart w:id="246" w:name="_Toc31847"/>
      <w:bookmarkStart w:id="247" w:name="_Toc57796016"/>
      <w:bookmarkStart w:id="248" w:name="_Toc19503"/>
      <w:r>
        <w:rPr>
          <w:rFonts w:hint="eastAsia" w:ascii="方正仿宋_GBK" w:hAnsi="方正仿宋_GBK" w:eastAsia="方正仿宋_GBK"/>
          <w:b w:val="0"/>
          <w:sz w:val="44"/>
          <w:szCs w:val="44"/>
          <w:highlight w:val="none"/>
        </w:rPr>
        <w:t>三、技术部分</w:t>
      </w:r>
      <w:bookmarkEnd w:id="246"/>
      <w:bookmarkEnd w:id="247"/>
      <w:bookmarkEnd w:id="248"/>
    </w:p>
    <w:p w14:paraId="030D035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1.竞选人应结合本次采购项目情况，从工作方案、进度计划、质量保证措施等方面进行技术描述。包括但不限于项目理解、工作方案、进度计划、人员安排、质量保证措施、协调沟通方案、应急预案等。</w:t>
      </w:r>
    </w:p>
    <w:p w14:paraId="2C1638A4">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2.本部分竞选人结合自身情况考虑提供。</w:t>
      </w:r>
    </w:p>
    <w:p w14:paraId="67D85AD5">
      <w:pPr>
        <w:tabs>
          <w:tab w:val="left" w:pos="1680"/>
          <w:tab w:val="left" w:pos="4215"/>
          <w:tab w:val="left" w:pos="4305"/>
          <w:tab w:val="left" w:pos="8000"/>
        </w:tabs>
        <w:ind w:left="105" w:right="105" w:firstLine="420" w:firstLineChars="200"/>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3.本部分未强制要求统一格式，内容完整、能满足评审需求即可。提供的技术部分资料控制在100页（含）以下。</w:t>
      </w:r>
    </w:p>
    <w:p w14:paraId="13AEF0E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B08A2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02109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63ABD0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6E234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54CAFA">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DB6C9E8">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D39D2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975B69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DF7683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6E4E36B">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5D5731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F42C9C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4C3D4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79F322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13F855">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7171C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67548F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3DCED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070F7D9">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E7A432E">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5A2D9C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F3CA78C">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0A5655D">
      <w:pPr>
        <w:pStyle w:val="3"/>
        <w:spacing w:before="0" w:after="0" w:line="360" w:lineRule="auto"/>
        <w:ind w:left="105" w:right="105"/>
        <w:jc w:val="center"/>
        <w:rPr>
          <w:rFonts w:ascii="方正仿宋_GBK" w:hAnsi="方正仿宋_GBK" w:eastAsia="方正仿宋_GBK"/>
          <w:b w:val="0"/>
          <w:sz w:val="44"/>
          <w:szCs w:val="44"/>
          <w:highlight w:val="none"/>
        </w:rPr>
      </w:pPr>
      <w:bookmarkStart w:id="249" w:name="_Toc430530545"/>
      <w:bookmarkStart w:id="250" w:name="_Toc277082656"/>
      <w:bookmarkStart w:id="251" w:name="_Toc287620829"/>
      <w:bookmarkStart w:id="252" w:name="_Toc224103510"/>
      <w:bookmarkStart w:id="253" w:name="_Toc57796018"/>
      <w:bookmarkStart w:id="254" w:name="_Toc287607882"/>
      <w:bookmarkStart w:id="255" w:name="_Toc4351"/>
      <w:bookmarkStart w:id="256" w:name="_Toc9281"/>
      <w:r>
        <w:rPr>
          <w:rFonts w:hint="eastAsia" w:ascii="方正仿宋_GBK" w:hAnsi="方正仿宋_GBK" w:eastAsia="方正仿宋_GBK"/>
          <w:b w:val="0"/>
          <w:sz w:val="44"/>
          <w:szCs w:val="44"/>
          <w:highlight w:val="none"/>
        </w:rPr>
        <w:t>四、资格审查</w:t>
      </w:r>
      <w:bookmarkEnd w:id="249"/>
      <w:bookmarkEnd w:id="250"/>
      <w:bookmarkEnd w:id="251"/>
      <w:bookmarkEnd w:id="252"/>
      <w:bookmarkEnd w:id="253"/>
      <w:bookmarkEnd w:id="254"/>
      <w:r>
        <w:rPr>
          <w:rFonts w:hint="eastAsia" w:ascii="方正仿宋_GBK" w:hAnsi="方正仿宋_GBK" w:eastAsia="方正仿宋_GBK"/>
          <w:b w:val="0"/>
          <w:sz w:val="44"/>
          <w:szCs w:val="44"/>
          <w:highlight w:val="none"/>
        </w:rPr>
        <w:t>部分</w:t>
      </w:r>
      <w:bookmarkEnd w:id="255"/>
      <w:bookmarkEnd w:id="256"/>
    </w:p>
    <w:p w14:paraId="430448B9">
      <w:pPr>
        <w:ind w:left="48" w:leftChars="23" w:right="105"/>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92AC251">
      <w:pPr>
        <w:ind w:left="46" w:leftChars="22" w:right="105" w:firstLine="371" w:firstLineChars="177"/>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val="en-US" w:eastAsia="zh-CN"/>
        </w:rPr>
        <w:t>1.</w:t>
      </w:r>
      <w:r>
        <w:rPr>
          <w:rFonts w:hint="eastAsia" w:ascii="方正仿宋_GBK" w:hAnsi="方正仿宋_GBK" w:eastAsia="方正仿宋_GBK" w:cs="宋体"/>
          <w:highlight w:val="none"/>
          <w:lang w:eastAsia="zh-CN"/>
        </w:rPr>
        <w:t>竞选函：按第五章格式填写，签字盖章齐全。</w:t>
      </w:r>
    </w:p>
    <w:p w14:paraId="14C373C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2.法定代表人身份证明：按第五章格式填写，附身份证复印件。</w:t>
      </w:r>
    </w:p>
    <w:p w14:paraId="12CD738C">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3.授权委托书（如有）：按第五章格式填写，附法定代表人和委托代理人身份证复印件。</w:t>
      </w:r>
    </w:p>
    <w:p w14:paraId="1804201D">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4.营业执照：复印件加盖公章。</w:t>
      </w:r>
    </w:p>
    <w:p w14:paraId="6AB15C9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5.资质证书：复印件加盖公章。</w:t>
      </w:r>
    </w:p>
    <w:p w14:paraId="1A98A3AB">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6.业绩证明材料：合同复印件加盖公章。</w:t>
      </w:r>
    </w:p>
    <w:p w14:paraId="170F391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7.财务状况承诺书：提供2023年1月1日起至竞选文件投递截止时间的财务状况良好承诺书（格式自拟）。</w:t>
      </w:r>
    </w:p>
    <w:p w14:paraId="624B95A8">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8.信誉承诺书：提供信誉良好承诺书（格式自拟），承诺无失信、无违法、无行贿等情形。</w:t>
      </w:r>
    </w:p>
    <w:p w14:paraId="7A9CE2E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9.分项报价明细表：按第五章格式填写。</w:t>
      </w:r>
    </w:p>
    <w:p w14:paraId="22DB2F2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10.商务和技术偏差表（如有）。</w:t>
      </w:r>
    </w:p>
    <w:p w14:paraId="1A0940A0">
      <w:pPr>
        <w:ind w:left="46" w:leftChars="22" w:right="105" w:firstLine="371" w:firstLineChars="177"/>
        <w:jc w:val="left"/>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上述资料若在商务部分中已包含，应说明具体部分详见商务部分，避免重复提供资料。所有复印件及承诺文件须加盖清晰、完整、可识别的单位公章，印章模糊、无法识别或遮挡关键信息的，按无效响应处理，并由竞选人自行承担一切后果。</w:t>
      </w:r>
    </w:p>
    <w:p w14:paraId="6325E17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724BA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A998D1D-7F74-4674-9659-AE7974A88A4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8F6EC490-83E1-4579-A2B4-739BF5550B98}"/>
  </w:font>
  <w:font w:name="方正小标宋_GBK">
    <w:panose1 w:val="03000509000000000000"/>
    <w:charset w:val="86"/>
    <w:family w:val="auto"/>
    <w:pitch w:val="default"/>
    <w:sig w:usb0="00000001" w:usb1="080E0000" w:usb2="00000000" w:usb3="00000000" w:csb0="00040000" w:csb1="00000000"/>
    <w:embedRegular r:id="rId3" w:fontKey="{74FEDF9A-D395-42E0-B4B0-3A4E240EF123}"/>
  </w:font>
  <w:font w:name="方正黑体_GBK">
    <w:panose1 w:val="03000509000000000000"/>
    <w:charset w:val="86"/>
    <w:family w:val="auto"/>
    <w:pitch w:val="default"/>
    <w:sig w:usb0="00000001" w:usb1="080E0000" w:usb2="00000000" w:usb3="00000000" w:csb0="00040000" w:csb1="00000000"/>
    <w:embedRegular r:id="rId4" w:fontKey="{83D56711-AB8A-45D4-815D-6C7EC18222E1}"/>
  </w:font>
  <w:font w:name="方正仿宋_GB18030">
    <w:panose1 w:val="02000000000000000000"/>
    <w:charset w:val="86"/>
    <w:family w:val="auto"/>
    <w:pitch w:val="default"/>
    <w:sig w:usb0="00000001" w:usb1="08000000" w:usb2="00000000" w:usb3="00000000" w:csb0="00040000" w:csb1="00000000"/>
    <w:embedRegular r:id="rId5" w:fontKey="{5F999BF4-B6FA-4763-8D9D-3B05C28403F5}"/>
  </w:font>
  <w:font w:name="方正仿宋_GBK">
    <w:panose1 w:val="03000509000000000000"/>
    <w:charset w:val="86"/>
    <w:family w:val="auto"/>
    <w:pitch w:val="default"/>
    <w:sig w:usb0="00000001" w:usb1="080E0000" w:usb2="00000000" w:usb3="00000000" w:csb0="00040000" w:csb1="00000000"/>
    <w:embedRegular r:id="rId6" w:fontKey="{EA1B1290-2E42-4049-BEBE-A495990C2C32}"/>
  </w:font>
  <w:font w:name="方正楷体_GBK">
    <w:panose1 w:val="03000509000000000000"/>
    <w:charset w:val="86"/>
    <w:family w:val="auto"/>
    <w:pitch w:val="default"/>
    <w:sig w:usb0="00000001" w:usb1="080E0000" w:usb2="00000000" w:usb3="00000000" w:csb0="00040000" w:csb1="00000000"/>
    <w:embedRegular r:id="rId7" w:fontKey="{8D1AF861-9DB2-41CA-8734-B8512A41D133}"/>
  </w:font>
  <w:font w:name="仿宋">
    <w:panose1 w:val="02010609060101010101"/>
    <w:charset w:val="86"/>
    <w:family w:val="auto"/>
    <w:pitch w:val="default"/>
    <w:sig w:usb0="800002BF" w:usb1="38CF7CFA" w:usb2="00000016" w:usb3="00000000" w:csb0="00040001" w:csb1="00000000"/>
    <w:embedRegular r:id="rId8" w:fontKey="{E17C4390-64BA-4BC4-AEFA-224795EFD5FC}"/>
  </w:font>
  <w:font w:name="Wingdings 2">
    <w:panose1 w:val="05020102010507070707"/>
    <w:charset w:val="00"/>
    <w:family w:val="auto"/>
    <w:pitch w:val="default"/>
    <w:sig w:usb0="00000000" w:usb1="00000000" w:usb2="00000000" w:usb3="00000000" w:csb0="80000000" w:csb1="00000000"/>
    <w:embedRegular r:id="rId9" w:fontKey="{4C930F0D-AAFF-4035-93F6-18BCFBF0B0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A3988"/>
    <w:multiLevelType w:val="singleLevel"/>
    <w:tmpl w:val="91CA3988"/>
    <w:lvl w:ilvl="0" w:tentative="0">
      <w:start w:val="2"/>
      <w:numFmt w:val="chineseCounting"/>
      <w:suff w:val="nothing"/>
      <w:lvlText w:val="（%1）"/>
      <w:lvlJc w:val="left"/>
      <w:rPr>
        <w:rFonts w:hint="eastAsia"/>
      </w:rPr>
    </w:lvl>
  </w:abstractNum>
  <w:abstractNum w:abstractNumId="1">
    <w:nsid w:val="9A578A04"/>
    <w:multiLevelType w:val="singleLevel"/>
    <w:tmpl w:val="9A578A04"/>
    <w:lvl w:ilvl="0" w:tentative="0">
      <w:start w:val="1"/>
      <w:numFmt w:val="chineseCounting"/>
      <w:suff w:val="nothing"/>
      <w:lvlText w:val="%1、"/>
      <w:lvlJc w:val="left"/>
      <w:rPr>
        <w:rFonts w:hint="eastAsia"/>
      </w:rPr>
    </w:lvl>
  </w:abstractNum>
  <w:abstractNum w:abstractNumId="2">
    <w:nsid w:val="F823DC41"/>
    <w:multiLevelType w:val="singleLevel"/>
    <w:tmpl w:val="F823DC41"/>
    <w:lvl w:ilvl="0" w:tentative="0">
      <w:start w:val="1"/>
      <w:numFmt w:val="chineseCounting"/>
      <w:suff w:val="nothing"/>
      <w:lvlText w:val="%1、"/>
      <w:lvlJc w:val="left"/>
      <w:rPr>
        <w:rFonts w:hint="eastAsia"/>
      </w:rPr>
    </w:lvl>
  </w:abstractNum>
  <w:abstractNum w:abstractNumId="3">
    <w:nsid w:val="15255EB9"/>
    <w:multiLevelType w:val="singleLevel"/>
    <w:tmpl w:val="15255EB9"/>
    <w:lvl w:ilvl="0" w:tentative="0">
      <w:start w:val="1"/>
      <w:numFmt w:val="decimal"/>
      <w:lvlText w:val="%1."/>
      <w:lvlJc w:val="left"/>
      <w:pPr>
        <w:tabs>
          <w:tab w:val="left" w:pos="312"/>
        </w:tabs>
      </w:pPr>
    </w:lvl>
  </w:abstractNum>
  <w:abstractNum w:abstractNumId="4">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145F5C"/>
    <w:rsid w:val="00E85D89"/>
    <w:rsid w:val="012F4FBA"/>
    <w:rsid w:val="015F4DAB"/>
    <w:rsid w:val="018F408A"/>
    <w:rsid w:val="02287486"/>
    <w:rsid w:val="02566FA4"/>
    <w:rsid w:val="0283520B"/>
    <w:rsid w:val="02C5053D"/>
    <w:rsid w:val="02E121B3"/>
    <w:rsid w:val="02FE3758"/>
    <w:rsid w:val="03327BE2"/>
    <w:rsid w:val="03727414"/>
    <w:rsid w:val="03A604C6"/>
    <w:rsid w:val="03EE5607"/>
    <w:rsid w:val="042A1982"/>
    <w:rsid w:val="043D3538"/>
    <w:rsid w:val="04421433"/>
    <w:rsid w:val="04444DE9"/>
    <w:rsid w:val="04635D75"/>
    <w:rsid w:val="04C20051"/>
    <w:rsid w:val="04EB6A93"/>
    <w:rsid w:val="04FA60A0"/>
    <w:rsid w:val="04FC6AE0"/>
    <w:rsid w:val="050C639B"/>
    <w:rsid w:val="05355B4E"/>
    <w:rsid w:val="05364707"/>
    <w:rsid w:val="05687BD4"/>
    <w:rsid w:val="05A20F79"/>
    <w:rsid w:val="05C818B8"/>
    <w:rsid w:val="06160B1E"/>
    <w:rsid w:val="06434952"/>
    <w:rsid w:val="064D11D0"/>
    <w:rsid w:val="06674F75"/>
    <w:rsid w:val="06903CCC"/>
    <w:rsid w:val="06CC6E92"/>
    <w:rsid w:val="06E819A8"/>
    <w:rsid w:val="075B7BDA"/>
    <w:rsid w:val="07C25DCB"/>
    <w:rsid w:val="07EA500B"/>
    <w:rsid w:val="086F2D26"/>
    <w:rsid w:val="08E24BA7"/>
    <w:rsid w:val="08FE60B1"/>
    <w:rsid w:val="09BE2DAE"/>
    <w:rsid w:val="09D34230"/>
    <w:rsid w:val="0A6B62F0"/>
    <w:rsid w:val="0A7769E9"/>
    <w:rsid w:val="0ADB13B6"/>
    <w:rsid w:val="0B2D6ABF"/>
    <w:rsid w:val="0B422D73"/>
    <w:rsid w:val="0B52713F"/>
    <w:rsid w:val="0B8D0492"/>
    <w:rsid w:val="0BA36C32"/>
    <w:rsid w:val="0BD82880"/>
    <w:rsid w:val="0BF5465F"/>
    <w:rsid w:val="0C0836D9"/>
    <w:rsid w:val="0C2E2BCB"/>
    <w:rsid w:val="0C5F63BF"/>
    <w:rsid w:val="0C6D1742"/>
    <w:rsid w:val="0D30275D"/>
    <w:rsid w:val="0D652F7F"/>
    <w:rsid w:val="0DD71E98"/>
    <w:rsid w:val="0DF35855"/>
    <w:rsid w:val="0DFE793B"/>
    <w:rsid w:val="0E181F8C"/>
    <w:rsid w:val="0E460DCC"/>
    <w:rsid w:val="0E494A2D"/>
    <w:rsid w:val="0E816797"/>
    <w:rsid w:val="0E824B4F"/>
    <w:rsid w:val="0EE829F7"/>
    <w:rsid w:val="0F343220"/>
    <w:rsid w:val="0F955859"/>
    <w:rsid w:val="0FD171A3"/>
    <w:rsid w:val="107D3B46"/>
    <w:rsid w:val="10B06C1A"/>
    <w:rsid w:val="10BA0B8E"/>
    <w:rsid w:val="10CC6629"/>
    <w:rsid w:val="10CD5557"/>
    <w:rsid w:val="10D920F8"/>
    <w:rsid w:val="10FB105D"/>
    <w:rsid w:val="116A47D1"/>
    <w:rsid w:val="118F44E5"/>
    <w:rsid w:val="11D47339"/>
    <w:rsid w:val="12074A4D"/>
    <w:rsid w:val="122F6C43"/>
    <w:rsid w:val="127C6B6A"/>
    <w:rsid w:val="12B409FA"/>
    <w:rsid w:val="12BA2B41"/>
    <w:rsid w:val="12DB709D"/>
    <w:rsid w:val="131200EF"/>
    <w:rsid w:val="133F3A40"/>
    <w:rsid w:val="134909C8"/>
    <w:rsid w:val="13644227"/>
    <w:rsid w:val="13D61F2A"/>
    <w:rsid w:val="1435387B"/>
    <w:rsid w:val="143C677F"/>
    <w:rsid w:val="14711346"/>
    <w:rsid w:val="14C633DB"/>
    <w:rsid w:val="14CC749A"/>
    <w:rsid w:val="14D233B9"/>
    <w:rsid w:val="15195392"/>
    <w:rsid w:val="158B5108"/>
    <w:rsid w:val="158E59FE"/>
    <w:rsid w:val="158F3258"/>
    <w:rsid w:val="159771E1"/>
    <w:rsid w:val="15C2314D"/>
    <w:rsid w:val="15E02379"/>
    <w:rsid w:val="16235803"/>
    <w:rsid w:val="163C097A"/>
    <w:rsid w:val="16673E9F"/>
    <w:rsid w:val="16774218"/>
    <w:rsid w:val="16A17ABC"/>
    <w:rsid w:val="16CF2191"/>
    <w:rsid w:val="16ED1BE3"/>
    <w:rsid w:val="16F2179B"/>
    <w:rsid w:val="170819A3"/>
    <w:rsid w:val="17231B69"/>
    <w:rsid w:val="1747089A"/>
    <w:rsid w:val="1748046E"/>
    <w:rsid w:val="17493A2A"/>
    <w:rsid w:val="179B41DB"/>
    <w:rsid w:val="17B05E8A"/>
    <w:rsid w:val="180245E6"/>
    <w:rsid w:val="180E4708"/>
    <w:rsid w:val="184839F8"/>
    <w:rsid w:val="184E0FA9"/>
    <w:rsid w:val="18805810"/>
    <w:rsid w:val="18904887"/>
    <w:rsid w:val="18D53478"/>
    <w:rsid w:val="195D3CC8"/>
    <w:rsid w:val="19CB53B9"/>
    <w:rsid w:val="1A077358"/>
    <w:rsid w:val="1A197394"/>
    <w:rsid w:val="1A376E38"/>
    <w:rsid w:val="1A8C7D14"/>
    <w:rsid w:val="1A9D31D2"/>
    <w:rsid w:val="1ACD4D47"/>
    <w:rsid w:val="1BA55A43"/>
    <w:rsid w:val="1BBE0BEC"/>
    <w:rsid w:val="1BE26B33"/>
    <w:rsid w:val="1C2E2660"/>
    <w:rsid w:val="1CC15720"/>
    <w:rsid w:val="1CDD249C"/>
    <w:rsid w:val="1D0672B0"/>
    <w:rsid w:val="1D076619"/>
    <w:rsid w:val="1D2E0713"/>
    <w:rsid w:val="1D2F75FB"/>
    <w:rsid w:val="1D813BCE"/>
    <w:rsid w:val="1DB7554C"/>
    <w:rsid w:val="1DC97459"/>
    <w:rsid w:val="1DF512A5"/>
    <w:rsid w:val="1E1E11FC"/>
    <w:rsid w:val="1E2E210B"/>
    <w:rsid w:val="1E2F33CF"/>
    <w:rsid w:val="1E4578B9"/>
    <w:rsid w:val="1EBA479D"/>
    <w:rsid w:val="1ED34FE5"/>
    <w:rsid w:val="1ED96F03"/>
    <w:rsid w:val="1EFC4C25"/>
    <w:rsid w:val="1F3D722B"/>
    <w:rsid w:val="1FB96708"/>
    <w:rsid w:val="1FD06747"/>
    <w:rsid w:val="20087C8F"/>
    <w:rsid w:val="20191A77"/>
    <w:rsid w:val="205D5CBE"/>
    <w:rsid w:val="20A13370"/>
    <w:rsid w:val="20ED6C54"/>
    <w:rsid w:val="21061A7D"/>
    <w:rsid w:val="210827FC"/>
    <w:rsid w:val="21AB108C"/>
    <w:rsid w:val="21E43924"/>
    <w:rsid w:val="22284C58"/>
    <w:rsid w:val="22886F09"/>
    <w:rsid w:val="23037CD2"/>
    <w:rsid w:val="236A1700"/>
    <w:rsid w:val="23957A79"/>
    <w:rsid w:val="23D261CE"/>
    <w:rsid w:val="23FB62B8"/>
    <w:rsid w:val="242B52DB"/>
    <w:rsid w:val="24B403E6"/>
    <w:rsid w:val="24D26ABE"/>
    <w:rsid w:val="25113A8A"/>
    <w:rsid w:val="25912940"/>
    <w:rsid w:val="25FA6A8B"/>
    <w:rsid w:val="26617DCE"/>
    <w:rsid w:val="266D77DA"/>
    <w:rsid w:val="26A35467"/>
    <w:rsid w:val="26B020ED"/>
    <w:rsid w:val="26BE09E6"/>
    <w:rsid w:val="271C029E"/>
    <w:rsid w:val="271F0A4D"/>
    <w:rsid w:val="2794558B"/>
    <w:rsid w:val="27992E0C"/>
    <w:rsid w:val="280042D2"/>
    <w:rsid w:val="28540702"/>
    <w:rsid w:val="28753608"/>
    <w:rsid w:val="289B71F2"/>
    <w:rsid w:val="28B2484F"/>
    <w:rsid w:val="28DA31F3"/>
    <w:rsid w:val="28FD67FF"/>
    <w:rsid w:val="29A44037"/>
    <w:rsid w:val="29A62DE6"/>
    <w:rsid w:val="29E81D1B"/>
    <w:rsid w:val="29EA143F"/>
    <w:rsid w:val="2A1C0B5F"/>
    <w:rsid w:val="2A511217"/>
    <w:rsid w:val="2A67611A"/>
    <w:rsid w:val="2ACA2E70"/>
    <w:rsid w:val="2ADC2DE8"/>
    <w:rsid w:val="2BF8374A"/>
    <w:rsid w:val="2C9F4856"/>
    <w:rsid w:val="2D1B3200"/>
    <w:rsid w:val="2D5C5ABE"/>
    <w:rsid w:val="2D746964"/>
    <w:rsid w:val="2D9C07B7"/>
    <w:rsid w:val="2DC82842"/>
    <w:rsid w:val="2DD977C1"/>
    <w:rsid w:val="2E0E6A8A"/>
    <w:rsid w:val="2E2F0632"/>
    <w:rsid w:val="2E3F26C6"/>
    <w:rsid w:val="2EA2688E"/>
    <w:rsid w:val="2EA31082"/>
    <w:rsid w:val="2EAA4699"/>
    <w:rsid w:val="2EBC272F"/>
    <w:rsid w:val="2EF574A4"/>
    <w:rsid w:val="2F897F35"/>
    <w:rsid w:val="2FA432C6"/>
    <w:rsid w:val="2FA67C14"/>
    <w:rsid w:val="2FE36D68"/>
    <w:rsid w:val="2FEF6589"/>
    <w:rsid w:val="30130FE2"/>
    <w:rsid w:val="3037436F"/>
    <w:rsid w:val="31A67308"/>
    <w:rsid w:val="31D63CDE"/>
    <w:rsid w:val="31D65E3F"/>
    <w:rsid w:val="31FB7654"/>
    <w:rsid w:val="324F4F00"/>
    <w:rsid w:val="32B819E9"/>
    <w:rsid w:val="33386686"/>
    <w:rsid w:val="341A64B0"/>
    <w:rsid w:val="3430573E"/>
    <w:rsid w:val="343B024C"/>
    <w:rsid w:val="3444697A"/>
    <w:rsid w:val="344A5917"/>
    <w:rsid w:val="34B72631"/>
    <w:rsid w:val="35327BBE"/>
    <w:rsid w:val="353B4A95"/>
    <w:rsid w:val="35414B78"/>
    <w:rsid w:val="359E17A7"/>
    <w:rsid w:val="36070589"/>
    <w:rsid w:val="369462C9"/>
    <w:rsid w:val="36A60BCB"/>
    <w:rsid w:val="36AF2B85"/>
    <w:rsid w:val="36BA6445"/>
    <w:rsid w:val="37A1516A"/>
    <w:rsid w:val="37B660B6"/>
    <w:rsid w:val="37E76EBA"/>
    <w:rsid w:val="37E968C2"/>
    <w:rsid w:val="383A174A"/>
    <w:rsid w:val="388A771C"/>
    <w:rsid w:val="38B727A6"/>
    <w:rsid w:val="38CF5396"/>
    <w:rsid w:val="398268AC"/>
    <w:rsid w:val="398B7479"/>
    <w:rsid w:val="39D325ED"/>
    <w:rsid w:val="3A605843"/>
    <w:rsid w:val="3A8F5F3B"/>
    <w:rsid w:val="3ACB1948"/>
    <w:rsid w:val="3AD76784"/>
    <w:rsid w:val="3ADC45D5"/>
    <w:rsid w:val="3ADE09A9"/>
    <w:rsid w:val="3AFC328C"/>
    <w:rsid w:val="3B167E7E"/>
    <w:rsid w:val="3B2E0A9A"/>
    <w:rsid w:val="3B7150FD"/>
    <w:rsid w:val="3BCB6FEA"/>
    <w:rsid w:val="3BE9103C"/>
    <w:rsid w:val="3BF26170"/>
    <w:rsid w:val="3BF652BC"/>
    <w:rsid w:val="3BFE2889"/>
    <w:rsid w:val="3C885F88"/>
    <w:rsid w:val="3CA806D5"/>
    <w:rsid w:val="3CE010B8"/>
    <w:rsid w:val="3D8F783C"/>
    <w:rsid w:val="3DD516A1"/>
    <w:rsid w:val="3DE11DF4"/>
    <w:rsid w:val="3EC3599D"/>
    <w:rsid w:val="3EC456A1"/>
    <w:rsid w:val="3EC535CF"/>
    <w:rsid w:val="3EDE4003"/>
    <w:rsid w:val="3FAF1A7E"/>
    <w:rsid w:val="3FB57663"/>
    <w:rsid w:val="3FE41195"/>
    <w:rsid w:val="3FED0FAD"/>
    <w:rsid w:val="40053674"/>
    <w:rsid w:val="40514DB4"/>
    <w:rsid w:val="408F5EAA"/>
    <w:rsid w:val="41FC3205"/>
    <w:rsid w:val="42293AD3"/>
    <w:rsid w:val="43027690"/>
    <w:rsid w:val="43054D99"/>
    <w:rsid w:val="433107D0"/>
    <w:rsid w:val="43AD3849"/>
    <w:rsid w:val="43FA221B"/>
    <w:rsid w:val="44003C64"/>
    <w:rsid w:val="44360C08"/>
    <w:rsid w:val="44BC6FE9"/>
    <w:rsid w:val="450611F7"/>
    <w:rsid w:val="451B0F59"/>
    <w:rsid w:val="456631C1"/>
    <w:rsid w:val="457744AC"/>
    <w:rsid w:val="45BD253B"/>
    <w:rsid w:val="45D17682"/>
    <w:rsid w:val="45D4223E"/>
    <w:rsid w:val="45D9105A"/>
    <w:rsid w:val="45E2586B"/>
    <w:rsid w:val="461D6557"/>
    <w:rsid w:val="46311E6F"/>
    <w:rsid w:val="465F30FE"/>
    <w:rsid w:val="46B1257F"/>
    <w:rsid w:val="478F287A"/>
    <w:rsid w:val="47A36041"/>
    <w:rsid w:val="48494CFC"/>
    <w:rsid w:val="487939F1"/>
    <w:rsid w:val="48F77DC1"/>
    <w:rsid w:val="496C1A6F"/>
    <w:rsid w:val="49BE646A"/>
    <w:rsid w:val="49EB5DA8"/>
    <w:rsid w:val="49F566D5"/>
    <w:rsid w:val="49F75EF8"/>
    <w:rsid w:val="49FE5ADB"/>
    <w:rsid w:val="4A1A5171"/>
    <w:rsid w:val="4A4B67FD"/>
    <w:rsid w:val="4A5F13D5"/>
    <w:rsid w:val="4AE90539"/>
    <w:rsid w:val="4C0F4139"/>
    <w:rsid w:val="4C1E2465"/>
    <w:rsid w:val="4C384F52"/>
    <w:rsid w:val="4C4172EC"/>
    <w:rsid w:val="4C437C13"/>
    <w:rsid w:val="4C6578C0"/>
    <w:rsid w:val="4C8A1956"/>
    <w:rsid w:val="4DEB5568"/>
    <w:rsid w:val="4E2B0E69"/>
    <w:rsid w:val="4E393F67"/>
    <w:rsid w:val="4E3E6B16"/>
    <w:rsid w:val="4E6E6A73"/>
    <w:rsid w:val="4E90667E"/>
    <w:rsid w:val="4EB41693"/>
    <w:rsid w:val="4F0A5E79"/>
    <w:rsid w:val="4F1625D5"/>
    <w:rsid w:val="4F1B1729"/>
    <w:rsid w:val="4F361873"/>
    <w:rsid w:val="4F37467E"/>
    <w:rsid w:val="4F3F77C5"/>
    <w:rsid w:val="4F85385C"/>
    <w:rsid w:val="4FCF6593"/>
    <w:rsid w:val="4FDC066D"/>
    <w:rsid w:val="5020656B"/>
    <w:rsid w:val="505C278E"/>
    <w:rsid w:val="50D84F18"/>
    <w:rsid w:val="50DB1954"/>
    <w:rsid w:val="50EF617E"/>
    <w:rsid w:val="50FD4E06"/>
    <w:rsid w:val="51092211"/>
    <w:rsid w:val="511A1CEF"/>
    <w:rsid w:val="51853A25"/>
    <w:rsid w:val="52556250"/>
    <w:rsid w:val="53057EDB"/>
    <w:rsid w:val="5339399C"/>
    <w:rsid w:val="533B070E"/>
    <w:rsid w:val="533C14E1"/>
    <w:rsid w:val="535F511F"/>
    <w:rsid w:val="537A201C"/>
    <w:rsid w:val="53DE5CB0"/>
    <w:rsid w:val="54646D5D"/>
    <w:rsid w:val="54AC278A"/>
    <w:rsid w:val="54BB38F7"/>
    <w:rsid w:val="55115426"/>
    <w:rsid w:val="552D4CAD"/>
    <w:rsid w:val="558C48E3"/>
    <w:rsid w:val="55952459"/>
    <w:rsid w:val="55AA721C"/>
    <w:rsid w:val="55B43F78"/>
    <w:rsid w:val="55B87800"/>
    <w:rsid w:val="55BA059E"/>
    <w:rsid w:val="55C40E60"/>
    <w:rsid w:val="56034E45"/>
    <w:rsid w:val="56303D55"/>
    <w:rsid w:val="56427ABB"/>
    <w:rsid w:val="56637078"/>
    <w:rsid w:val="56B71FFC"/>
    <w:rsid w:val="56C003A2"/>
    <w:rsid w:val="56C94CD6"/>
    <w:rsid w:val="56EA7B13"/>
    <w:rsid w:val="5778226E"/>
    <w:rsid w:val="578549C5"/>
    <w:rsid w:val="57D8796C"/>
    <w:rsid w:val="57E74BE1"/>
    <w:rsid w:val="580437EC"/>
    <w:rsid w:val="5852255F"/>
    <w:rsid w:val="591A24CC"/>
    <w:rsid w:val="5A4511BC"/>
    <w:rsid w:val="5AB0028C"/>
    <w:rsid w:val="5AE27592"/>
    <w:rsid w:val="5B4B50B5"/>
    <w:rsid w:val="5B5F20E3"/>
    <w:rsid w:val="5B7C0F56"/>
    <w:rsid w:val="5B89775C"/>
    <w:rsid w:val="5B9E1D12"/>
    <w:rsid w:val="5BC174A5"/>
    <w:rsid w:val="5BFF4434"/>
    <w:rsid w:val="5C361EDB"/>
    <w:rsid w:val="5C59094A"/>
    <w:rsid w:val="5C627D9A"/>
    <w:rsid w:val="5CB45ED4"/>
    <w:rsid w:val="5CB87404"/>
    <w:rsid w:val="5D521F6E"/>
    <w:rsid w:val="5D7C7C06"/>
    <w:rsid w:val="5DA728C0"/>
    <w:rsid w:val="5E272663"/>
    <w:rsid w:val="5E3326D9"/>
    <w:rsid w:val="5E5225FF"/>
    <w:rsid w:val="5E7207CC"/>
    <w:rsid w:val="5E8C0390"/>
    <w:rsid w:val="5E9E22D7"/>
    <w:rsid w:val="5F067A9B"/>
    <w:rsid w:val="5F5A287C"/>
    <w:rsid w:val="5F814D8D"/>
    <w:rsid w:val="5F886547"/>
    <w:rsid w:val="5FE72775"/>
    <w:rsid w:val="6045006A"/>
    <w:rsid w:val="60B3398C"/>
    <w:rsid w:val="60CD52D1"/>
    <w:rsid w:val="60E51BB8"/>
    <w:rsid w:val="60EF35E0"/>
    <w:rsid w:val="612A637F"/>
    <w:rsid w:val="61446072"/>
    <w:rsid w:val="624532D2"/>
    <w:rsid w:val="6293033F"/>
    <w:rsid w:val="629457C3"/>
    <w:rsid w:val="62A92BD2"/>
    <w:rsid w:val="62F66015"/>
    <w:rsid w:val="63123005"/>
    <w:rsid w:val="634D7265"/>
    <w:rsid w:val="63794D66"/>
    <w:rsid w:val="63CE2A65"/>
    <w:rsid w:val="63FB424E"/>
    <w:rsid w:val="643C2001"/>
    <w:rsid w:val="646D1C5C"/>
    <w:rsid w:val="64A76E0D"/>
    <w:rsid w:val="65937FE0"/>
    <w:rsid w:val="65C36F0C"/>
    <w:rsid w:val="65EB11B2"/>
    <w:rsid w:val="66325895"/>
    <w:rsid w:val="66F9345B"/>
    <w:rsid w:val="6725501E"/>
    <w:rsid w:val="677660B6"/>
    <w:rsid w:val="67BC5DF7"/>
    <w:rsid w:val="67C77E8B"/>
    <w:rsid w:val="67E10ABE"/>
    <w:rsid w:val="67FD2842"/>
    <w:rsid w:val="681D7C60"/>
    <w:rsid w:val="68431BC3"/>
    <w:rsid w:val="6873306E"/>
    <w:rsid w:val="68840CAB"/>
    <w:rsid w:val="68E35427"/>
    <w:rsid w:val="690643FC"/>
    <w:rsid w:val="69802EAF"/>
    <w:rsid w:val="69A81CBA"/>
    <w:rsid w:val="69AB5DA7"/>
    <w:rsid w:val="69AF24F6"/>
    <w:rsid w:val="69D87D83"/>
    <w:rsid w:val="69DB040C"/>
    <w:rsid w:val="69DC654B"/>
    <w:rsid w:val="69F83E9D"/>
    <w:rsid w:val="6A5879A1"/>
    <w:rsid w:val="6A602708"/>
    <w:rsid w:val="6A705D34"/>
    <w:rsid w:val="6A857EC9"/>
    <w:rsid w:val="6A987ACE"/>
    <w:rsid w:val="6ACA1EB0"/>
    <w:rsid w:val="6ACE0506"/>
    <w:rsid w:val="6AD60163"/>
    <w:rsid w:val="6AFC16DA"/>
    <w:rsid w:val="6B191BA6"/>
    <w:rsid w:val="6B414C97"/>
    <w:rsid w:val="6B467C23"/>
    <w:rsid w:val="6B554B77"/>
    <w:rsid w:val="6B6F3FE3"/>
    <w:rsid w:val="6BD33ABF"/>
    <w:rsid w:val="6C41581C"/>
    <w:rsid w:val="6C727F37"/>
    <w:rsid w:val="6CA65AC3"/>
    <w:rsid w:val="6CC95344"/>
    <w:rsid w:val="6CE55FD3"/>
    <w:rsid w:val="6CFA463E"/>
    <w:rsid w:val="6D461D6F"/>
    <w:rsid w:val="6DEB69C9"/>
    <w:rsid w:val="6DEC3D19"/>
    <w:rsid w:val="6E264F3A"/>
    <w:rsid w:val="6E2B7009"/>
    <w:rsid w:val="6E2D211F"/>
    <w:rsid w:val="6E662965"/>
    <w:rsid w:val="6E6B62FC"/>
    <w:rsid w:val="6EBD4BE6"/>
    <w:rsid w:val="6EDF387E"/>
    <w:rsid w:val="6EE86AD5"/>
    <w:rsid w:val="6F377832"/>
    <w:rsid w:val="6F67541A"/>
    <w:rsid w:val="704F058F"/>
    <w:rsid w:val="70894C6D"/>
    <w:rsid w:val="70A961FA"/>
    <w:rsid w:val="715333DF"/>
    <w:rsid w:val="718E3A3A"/>
    <w:rsid w:val="71CD08C0"/>
    <w:rsid w:val="71F325BC"/>
    <w:rsid w:val="71FD0009"/>
    <w:rsid w:val="71FF5F22"/>
    <w:rsid w:val="72637960"/>
    <w:rsid w:val="72695111"/>
    <w:rsid w:val="72D4094B"/>
    <w:rsid w:val="72DE17B4"/>
    <w:rsid w:val="72FA7A9E"/>
    <w:rsid w:val="7304755E"/>
    <w:rsid w:val="734567C2"/>
    <w:rsid w:val="73531097"/>
    <w:rsid w:val="735F2A38"/>
    <w:rsid w:val="736A2DEE"/>
    <w:rsid w:val="73740023"/>
    <w:rsid w:val="73746465"/>
    <w:rsid w:val="73816E7D"/>
    <w:rsid w:val="73AF68AA"/>
    <w:rsid w:val="73BF4D75"/>
    <w:rsid w:val="74827185"/>
    <w:rsid w:val="74A44BEF"/>
    <w:rsid w:val="74F252A0"/>
    <w:rsid w:val="75270C4F"/>
    <w:rsid w:val="75C62ACF"/>
    <w:rsid w:val="76266A84"/>
    <w:rsid w:val="76E637DA"/>
    <w:rsid w:val="77170059"/>
    <w:rsid w:val="77884DE7"/>
    <w:rsid w:val="77E24131"/>
    <w:rsid w:val="77FB3881"/>
    <w:rsid w:val="77FF0F2F"/>
    <w:rsid w:val="781B0169"/>
    <w:rsid w:val="788C0F3B"/>
    <w:rsid w:val="79003577"/>
    <w:rsid w:val="79163C15"/>
    <w:rsid w:val="792453C0"/>
    <w:rsid w:val="79D63C6A"/>
    <w:rsid w:val="7A574C10"/>
    <w:rsid w:val="7A5E6E18"/>
    <w:rsid w:val="7A9E283F"/>
    <w:rsid w:val="7AA34A94"/>
    <w:rsid w:val="7AED4D37"/>
    <w:rsid w:val="7B1C2F26"/>
    <w:rsid w:val="7B396A69"/>
    <w:rsid w:val="7B485344"/>
    <w:rsid w:val="7B4D5801"/>
    <w:rsid w:val="7B542EFE"/>
    <w:rsid w:val="7BC778CB"/>
    <w:rsid w:val="7BD3106F"/>
    <w:rsid w:val="7BED4023"/>
    <w:rsid w:val="7C0802F8"/>
    <w:rsid w:val="7CB41EA6"/>
    <w:rsid w:val="7CF972F5"/>
    <w:rsid w:val="7D3B25C7"/>
    <w:rsid w:val="7D7A42F0"/>
    <w:rsid w:val="7DD35601"/>
    <w:rsid w:val="7DFE3726"/>
    <w:rsid w:val="7E2748F9"/>
    <w:rsid w:val="7E357016"/>
    <w:rsid w:val="7E610049"/>
    <w:rsid w:val="7E9052F2"/>
    <w:rsid w:val="7E9B256E"/>
    <w:rsid w:val="7EB05CC5"/>
    <w:rsid w:val="7EC37060"/>
    <w:rsid w:val="7ECD4F81"/>
    <w:rsid w:val="7F1E650A"/>
    <w:rsid w:val="7F3C2DA8"/>
    <w:rsid w:val="7F601FB0"/>
    <w:rsid w:val="7F8F0DA9"/>
    <w:rsid w:val="7F941373"/>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方正仿宋_GB2312"/>
      <w:kern w:val="0"/>
      <w:sz w:val="30"/>
      <w:szCs w:val="20"/>
    </w:rPr>
  </w:style>
  <w:style w:type="paragraph" w:styleId="6">
    <w:name w:val="Body Text"/>
    <w:basedOn w:val="1"/>
    <w:next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方正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qFormat/>
    <w:uiPriority w:val="0"/>
    <w:rPr>
      <w:sz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8549</Words>
  <Characters>9432</Characters>
  <Lines>0</Lines>
  <Paragraphs>0</Paragraphs>
  <TotalTime>105</TotalTime>
  <ScaleCrop>false</ScaleCrop>
  <LinksUpToDate>false</LinksUpToDate>
  <CharactersWithSpaces>10089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2025-12-22T06:21:00Z</cp:lastPrinted>
  <dcterms:modified xsi:type="dcterms:W3CDTF">2026-05-29T01:53:01Z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eyJoZGlkIjoiZjdjNWFiMGZkMzNmNjU4N2E4OGU4NmE3YmM1Mzc3MzIiLCJ1c2VySWQiOiIxNjQ3MjIwODEyIn0=</vt:lpwstr>
  </property>
  <property fmtid="{D5CDD505-2E9C-101B-9397-08002B2CF9AE}" pid="4" name="ICV">
    <vt:lpwstr>7422AB62BE50409DA279162C46851CB5_12</vt:lpwstr>
  </property>
</Properties>
</file>