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90C3E">
      <w:pPr>
        <w:pStyle w:val="14"/>
        <w:rPr>
          <w:rFonts w:hint="default"/>
          <w:color w:val="auto"/>
          <w:lang w:val="en-US" w:eastAsia="zh-CN"/>
        </w:rPr>
      </w:pPr>
    </w:p>
    <w:p w14:paraId="66ABF68A">
      <w:pPr>
        <w:rPr>
          <w:rFonts w:hint="default"/>
          <w:color w:val="auto"/>
          <w:lang w:val="en-US" w:eastAsia="zh-CN"/>
        </w:rPr>
      </w:pPr>
    </w:p>
    <w:p w14:paraId="0D744878">
      <w:pPr>
        <w:pStyle w:val="6"/>
        <w:rPr>
          <w:rFonts w:hint="eastAsia"/>
          <w:color w:val="auto"/>
          <w:lang w:eastAsia="zh-CN"/>
        </w:rPr>
      </w:pPr>
    </w:p>
    <w:p w14:paraId="2ED6BE06">
      <w:pPr>
        <w:widowControl w:val="0"/>
        <w:kinsoku/>
        <w:autoSpaceDE/>
        <w:autoSpaceDN/>
        <w:adjustRightInd/>
        <w:snapToGrid/>
        <w:spacing w:line="360" w:lineRule="auto"/>
        <w:jc w:val="both"/>
        <w:textAlignment w:val="auto"/>
        <w:rPr>
          <w:rFonts w:hint="eastAsia" w:ascii="方正黑体_GBK" w:hAnsi="方正黑体_GBK" w:eastAsia="方正黑体_GBK" w:cs="方正黑体_GBK"/>
          <w:snapToGrid/>
          <w:color w:val="auto"/>
          <w:kern w:val="0"/>
          <w:sz w:val="32"/>
          <w:szCs w:val="32"/>
          <w:highlight w:val="none"/>
          <w:u w:val="single"/>
          <w:lang w:val="en-US" w:eastAsia="zh-CN" w:bidi="ar-SA"/>
        </w:rPr>
      </w:pPr>
      <w:r>
        <w:rPr>
          <w:rFonts w:hint="eastAsia" w:ascii="方正黑体_GBK" w:hAnsi="方正黑体_GBK" w:eastAsia="方正黑体_GBK" w:cs="方正黑体_GBK"/>
          <w:snapToGrid/>
          <w:color w:val="auto"/>
          <w:kern w:val="0"/>
          <w:sz w:val="32"/>
          <w:szCs w:val="32"/>
          <w:highlight w:val="none"/>
          <w:u w:val="single"/>
          <w:lang w:val="en-US" w:eastAsia="zh-CN" w:bidi="ar-SA"/>
        </w:rPr>
        <w:t>项目名称：2026年渝东南分公司（第一批）设备采购（第二次）</w:t>
      </w:r>
    </w:p>
    <w:p w14:paraId="4A262A3C">
      <w:pPr>
        <w:pStyle w:val="6"/>
        <w:rPr>
          <w:rFonts w:hint="eastAsia" w:ascii="宋体" w:hAnsi="宋体"/>
          <w:color w:val="auto"/>
          <w:kern w:val="0"/>
          <w:sz w:val="32"/>
          <w:szCs w:val="32"/>
          <w:highlight w:val="none"/>
          <w:u w:val="single"/>
        </w:rPr>
      </w:pPr>
    </w:p>
    <w:p w14:paraId="6C56CB16">
      <w:pPr>
        <w:rPr>
          <w:rFonts w:hint="eastAsia" w:ascii="宋体" w:hAnsi="宋体"/>
          <w:color w:val="auto"/>
          <w:kern w:val="0"/>
          <w:sz w:val="32"/>
          <w:szCs w:val="32"/>
          <w:highlight w:val="none"/>
          <w:u w:val="single"/>
        </w:rPr>
      </w:pPr>
    </w:p>
    <w:p w14:paraId="7D0FD231">
      <w:pPr>
        <w:pStyle w:val="6"/>
        <w:rPr>
          <w:rFonts w:hint="eastAsia" w:ascii="宋体" w:hAnsi="宋体"/>
          <w:color w:val="auto"/>
          <w:kern w:val="0"/>
          <w:sz w:val="32"/>
          <w:szCs w:val="32"/>
          <w:highlight w:val="none"/>
          <w:u w:val="single"/>
        </w:rPr>
      </w:pPr>
    </w:p>
    <w:p w14:paraId="37263902">
      <w:pPr>
        <w:rPr>
          <w:rFonts w:hint="eastAsia" w:ascii="宋体" w:hAnsi="宋体"/>
          <w:color w:val="auto"/>
          <w:kern w:val="0"/>
          <w:sz w:val="32"/>
          <w:szCs w:val="32"/>
          <w:highlight w:val="none"/>
          <w:u w:val="single"/>
        </w:rPr>
      </w:pPr>
    </w:p>
    <w:p w14:paraId="547DBCF4">
      <w:pPr>
        <w:rPr>
          <w:rFonts w:hint="eastAsia" w:ascii="宋体" w:hAnsi="宋体"/>
          <w:color w:val="auto"/>
          <w:kern w:val="0"/>
          <w:sz w:val="32"/>
          <w:szCs w:val="32"/>
          <w:highlight w:val="none"/>
          <w:u w:val="single"/>
        </w:rPr>
      </w:pPr>
    </w:p>
    <w:p w14:paraId="1B74412C">
      <w:pPr>
        <w:rPr>
          <w:color w:val="auto"/>
        </w:rPr>
      </w:pPr>
    </w:p>
    <w:p w14:paraId="7FEF5C05">
      <w:pPr>
        <w:pStyle w:val="3"/>
        <w:pageBreakBefore w:val="0"/>
        <w:widowControl/>
        <w:kinsoku w:val="0"/>
        <w:wordWrap/>
        <w:overflowPunct/>
        <w:topLinePunct w:val="0"/>
        <w:autoSpaceDE w:val="0"/>
        <w:autoSpaceDN w:val="0"/>
        <w:bidi w:val="0"/>
        <w:adjustRightInd w:val="0"/>
        <w:snapToGrid w:val="0"/>
        <w:spacing w:before="0" w:after="0" w:line="360" w:lineRule="auto"/>
        <w:jc w:val="center"/>
        <w:textAlignment w:val="baseline"/>
        <w:rPr>
          <w:rFonts w:hint="default"/>
          <w:lang w:val="en-US" w:eastAsia="zh-CN"/>
        </w:rPr>
      </w:pPr>
      <w:r>
        <w:rPr>
          <w:rFonts w:hint="eastAsia" w:ascii="方正黑体_GBK" w:hAnsi="方正黑体_GBK" w:eastAsia="方正黑体_GBK" w:cs="方正黑体_GBK"/>
          <w:color w:val="auto"/>
          <w:kern w:val="0"/>
          <w:sz w:val="72"/>
          <w:szCs w:val="72"/>
          <w:highlight w:val="none"/>
          <w:lang w:val="en-US" w:eastAsia="zh-CN"/>
        </w:rPr>
        <w:t>比 选</w:t>
      </w:r>
      <w:r>
        <w:rPr>
          <w:rFonts w:hint="eastAsia" w:ascii="方正黑体_GBK" w:hAnsi="方正黑体_GBK" w:eastAsia="方正黑体_GBK" w:cs="方正黑体_GBK"/>
          <w:color w:val="auto"/>
          <w:kern w:val="0"/>
          <w:sz w:val="72"/>
          <w:szCs w:val="72"/>
          <w:highlight w:val="none"/>
        </w:rPr>
        <w:t xml:space="preserve"> 文 件</w:t>
      </w:r>
    </w:p>
    <w:p w14:paraId="3B13041E">
      <w:pPr>
        <w:autoSpaceDE w:val="0"/>
        <w:autoSpaceDN w:val="0"/>
        <w:adjustRightInd w:val="0"/>
        <w:snapToGrid w:val="0"/>
        <w:spacing w:line="360" w:lineRule="auto"/>
        <w:jc w:val="center"/>
        <w:rPr>
          <w:rFonts w:hint="eastAsia" w:ascii="方正黑体_GBK" w:hAnsi="方正黑体_GBK" w:eastAsia="方正黑体_GBK" w:cs="方正黑体_GBK"/>
          <w:color w:val="auto"/>
          <w:kern w:val="0"/>
          <w:sz w:val="72"/>
          <w:szCs w:val="72"/>
          <w:highlight w:val="none"/>
        </w:rPr>
      </w:pPr>
    </w:p>
    <w:p w14:paraId="3A5D4A02">
      <w:pPr>
        <w:autoSpaceDE w:val="0"/>
        <w:autoSpaceDN w:val="0"/>
        <w:adjustRightInd w:val="0"/>
        <w:snapToGrid w:val="0"/>
        <w:spacing w:line="360" w:lineRule="auto"/>
        <w:jc w:val="left"/>
        <w:rPr>
          <w:rFonts w:ascii="宋体" w:hAnsi="宋体"/>
          <w:color w:val="auto"/>
          <w:kern w:val="0"/>
          <w:sz w:val="10"/>
          <w:szCs w:val="10"/>
          <w:highlight w:val="none"/>
        </w:rPr>
      </w:pPr>
    </w:p>
    <w:p w14:paraId="112CD5F6">
      <w:pPr>
        <w:autoSpaceDE w:val="0"/>
        <w:autoSpaceDN w:val="0"/>
        <w:adjustRightInd w:val="0"/>
        <w:snapToGrid w:val="0"/>
        <w:spacing w:line="360" w:lineRule="auto"/>
        <w:jc w:val="left"/>
        <w:rPr>
          <w:rFonts w:ascii="宋体" w:hAnsi="宋体"/>
          <w:color w:val="auto"/>
          <w:kern w:val="0"/>
          <w:sz w:val="20"/>
          <w:szCs w:val="20"/>
          <w:highlight w:val="none"/>
        </w:rPr>
      </w:pPr>
    </w:p>
    <w:p w14:paraId="4098FCC6">
      <w:pPr>
        <w:autoSpaceDE w:val="0"/>
        <w:autoSpaceDN w:val="0"/>
        <w:adjustRightInd w:val="0"/>
        <w:snapToGrid w:val="0"/>
        <w:spacing w:line="360" w:lineRule="auto"/>
        <w:jc w:val="left"/>
        <w:rPr>
          <w:rFonts w:ascii="宋体" w:hAnsi="宋体"/>
          <w:color w:val="auto"/>
          <w:kern w:val="0"/>
          <w:sz w:val="20"/>
          <w:szCs w:val="20"/>
          <w:highlight w:val="none"/>
        </w:rPr>
      </w:pPr>
    </w:p>
    <w:p w14:paraId="08B1E338">
      <w:pPr>
        <w:autoSpaceDE w:val="0"/>
        <w:autoSpaceDN w:val="0"/>
        <w:adjustRightInd w:val="0"/>
        <w:snapToGrid w:val="0"/>
        <w:spacing w:line="360" w:lineRule="auto"/>
        <w:jc w:val="left"/>
        <w:rPr>
          <w:rFonts w:ascii="宋体" w:hAnsi="宋体"/>
          <w:color w:val="auto"/>
          <w:kern w:val="0"/>
          <w:sz w:val="20"/>
          <w:szCs w:val="20"/>
          <w:highlight w:val="none"/>
        </w:rPr>
      </w:pPr>
    </w:p>
    <w:p w14:paraId="260A6A7B">
      <w:pPr>
        <w:autoSpaceDE w:val="0"/>
        <w:autoSpaceDN w:val="0"/>
        <w:adjustRightInd w:val="0"/>
        <w:snapToGrid w:val="0"/>
        <w:spacing w:line="360" w:lineRule="auto"/>
        <w:jc w:val="left"/>
        <w:rPr>
          <w:rFonts w:ascii="宋体" w:hAnsi="宋体"/>
          <w:color w:val="auto"/>
          <w:kern w:val="0"/>
          <w:sz w:val="20"/>
          <w:szCs w:val="20"/>
          <w:highlight w:val="none"/>
        </w:rPr>
      </w:pPr>
    </w:p>
    <w:p w14:paraId="368D9B7F">
      <w:pPr>
        <w:autoSpaceDE w:val="0"/>
        <w:autoSpaceDN w:val="0"/>
        <w:adjustRightInd w:val="0"/>
        <w:snapToGrid w:val="0"/>
        <w:spacing w:line="360" w:lineRule="auto"/>
        <w:jc w:val="left"/>
        <w:rPr>
          <w:rFonts w:ascii="宋体" w:hAnsi="宋体"/>
          <w:color w:val="auto"/>
          <w:kern w:val="0"/>
          <w:sz w:val="20"/>
          <w:szCs w:val="20"/>
          <w:highlight w:val="none"/>
        </w:rPr>
      </w:pPr>
    </w:p>
    <w:p w14:paraId="1E9E3B0F">
      <w:pPr>
        <w:autoSpaceDE w:val="0"/>
        <w:autoSpaceDN w:val="0"/>
        <w:adjustRightInd w:val="0"/>
        <w:snapToGrid w:val="0"/>
        <w:spacing w:line="360" w:lineRule="auto"/>
        <w:rPr>
          <w:rFonts w:ascii="宋体" w:hAnsi="宋体"/>
          <w:color w:val="auto"/>
          <w:kern w:val="0"/>
          <w:sz w:val="20"/>
          <w:szCs w:val="20"/>
          <w:highlight w:val="none"/>
        </w:rPr>
      </w:pPr>
    </w:p>
    <w:p w14:paraId="7F895B41">
      <w:pPr>
        <w:autoSpaceDE w:val="0"/>
        <w:autoSpaceDN w:val="0"/>
        <w:adjustRightInd w:val="0"/>
        <w:snapToGrid w:val="0"/>
        <w:spacing w:line="360" w:lineRule="auto"/>
        <w:jc w:val="left"/>
        <w:rPr>
          <w:rFonts w:ascii="宋体" w:hAnsi="宋体"/>
          <w:color w:val="auto"/>
          <w:kern w:val="0"/>
          <w:sz w:val="20"/>
          <w:szCs w:val="20"/>
          <w:highlight w:val="none"/>
        </w:rPr>
      </w:pPr>
    </w:p>
    <w:p w14:paraId="27EA437B">
      <w:pPr>
        <w:autoSpaceDE w:val="0"/>
        <w:autoSpaceDN w:val="0"/>
        <w:adjustRightInd w:val="0"/>
        <w:snapToGrid w:val="0"/>
        <w:spacing w:line="360" w:lineRule="auto"/>
        <w:rPr>
          <w:rFonts w:ascii="宋体" w:hAnsi="宋体"/>
          <w:color w:val="auto"/>
          <w:kern w:val="0"/>
          <w:sz w:val="20"/>
          <w:szCs w:val="20"/>
          <w:highlight w:val="none"/>
        </w:rPr>
      </w:pPr>
    </w:p>
    <w:tbl>
      <w:tblPr>
        <w:tblStyle w:val="15"/>
        <w:tblpPr w:leftFromText="180" w:rightFromText="180" w:vertAnchor="text" w:horzAnchor="page" w:tblpX="1598" w:tblpY="369"/>
        <w:tblOverlap w:val="never"/>
        <w:tblW w:w="87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81"/>
        <w:gridCol w:w="4490"/>
        <w:gridCol w:w="2252"/>
      </w:tblGrid>
      <w:tr w14:paraId="2DA8A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981" w:type="dxa"/>
            <w:tcBorders>
              <w:top w:val="nil"/>
              <w:left w:val="nil"/>
              <w:bottom w:val="nil"/>
              <w:right w:val="nil"/>
            </w:tcBorders>
            <w:shd w:val="clear" w:color="auto" w:fill="auto"/>
            <w:noWrap/>
            <w:tcMar>
              <w:top w:w="10" w:type="dxa"/>
              <w:left w:w="10" w:type="dxa"/>
              <w:right w:w="10" w:type="dxa"/>
            </w:tcMar>
            <w:vAlign w:val="bottom"/>
          </w:tcPr>
          <w:p w14:paraId="1C62BA25">
            <w:pPr>
              <w:keepNext w:val="0"/>
              <w:keepLines w:val="0"/>
              <w:widowControl/>
              <w:suppressLineNumbers w:val="0"/>
              <w:jc w:val="left"/>
              <w:textAlignment w:val="bottom"/>
              <w:rPr>
                <w:rFonts w:hint="eastAsia" w:ascii="方正仿宋_GB2312" w:hAnsi="方正仿宋_GB2312" w:eastAsia="方正仿宋_GB2312" w:cs="方正仿宋_GB2312"/>
                <w:i w:val="0"/>
                <w:color w:val="auto"/>
                <w:sz w:val="28"/>
                <w:szCs w:val="28"/>
                <w:u w:val="none"/>
              </w:rPr>
            </w:pPr>
            <w:r>
              <w:rPr>
                <w:rFonts w:hint="eastAsia" w:ascii="方正仿宋_GB2312" w:hAnsi="方正仿宋_GB2312" w:eastAsia="方正仿宋_GB2312" w:cs="方正仿宋_GB2312"/>
                <w:i w:val="0"/>
                <w:snapToGrid w:val="0"/>
                <w:color w:val="auto"/>
                <w:kern w:val="0"/>
                <w:sz w:val="28"/>
                <w:szCs w:val="28"/>
                <w:u w:val="none"/>
                <w:lang w:val="en-US" w:eastAsia="zh-CN" w:bidi="ar"/>
              </w:rPr>
              <w:t>比   选   人：</w:t>
            </w:r>
          </w:p>
        </w:tc>
        <w:tc>
          <w:tcPr>
            <w:tcW w:w="4490" w:type="dxa"/>
            <w:tcBorders>
              <w:top w:val="nil"/>
              <w:left w:val="nil"/>
              <w:bottom w:val="single" w:color="000000" w:sz="4" w:space="0"/>
              <w:right w:val="nil"/>
            </w:tcBorders>
            <w:shd w:val="clear" w:color="auto" w:fill="auto"/>
            <w:noWrap/>
            <w:tcMar>
              <w:top w:w="10" w:type="dxa"/>
              <w:left w:w="10" w:type="dxa"/>
              <w:right w:w="10" w:type="dxa"/>
            </w:tcMar>
            <w:vAlign w:val="bottom"/>
          </w:tcPr>
          <w:p w14:paraId="56B30453">
            <w:pPr>
              <w:jc w:val="center"/>
              <w:rPr>
                <w:rFonts w:hint="eastAsia" w:ascii="方正仿宋_GB2312" w:hAnsi="方正仿宋_GB2312" w:eastAsia="方正仿宋_GB2312" w:cs="方正仿宋_GB2312"/>
                <w:i w:val="0"/>
                <w:color w:val="auto"/>
                <w:sz w:val="28"/>
                <w:szCs w:val="28"/>
                <w:u w:val="none"/>
                <w:lang w:eastAsia="zh-CN"/>
              </w:rPr>
            </w:pPr>
            <w:r>
              <w:rPr>
                <w:rFonts w:hint="eastAsia" w:ascii="方正仿宋_GB2312" w:hAnsi="方正仿宋_GB2312" w:eastAsia="方正仿宋_GB2312" w:cs="方正仿宋_GB2312"/>
                <w:i w:val="0"/>
                <w:color w:val="auto"/>
                <w:sz w:val="28"/>
                <w:szCs w:val="28"/>
                <w:u w:val="none"/>
                <w:lang w:eastAsia="zh-CN"/>
              </w:rPr>
              <w:t>重庆环保投资集团有限公司</w:t>
            </w:r>
          </w:p>
        </w:tc>
        <w:tc>
          <w:tcPr>
            <w:tcW w:w="2252" w:type="dxa"/>
            <w:tcBorders>
              <w:top w:val="nil"/>
              <w:left w:val="nil"/>
              <w:bottom w:val="nil"/>
              <w:right w:val="nil"/>
            </w:tcBorders>
            <w:shd w:val="clear" w:color="auto" w:fill="auto"/>
            <w:noWrap/>
            <w:tcMar>
              <w:top w:w="10" w:type="dxa"/>
              <w:left w:w="10" w:type="dxa"/>
              <w:right w:w="10" w:type="dxa"/>
            </w:tcMar>
            <w:vAlign w:val="bottom"/>
          </w:tcPr>
          <w:p w14:paraId="5B3FA8E9">
            <w:pPr>
              <w:keepNext w:val="0"/>
              <w:keepLines w:val="0"/>
              <w:widowControl/>
              <w:suppressLineNumbers w:val="0"/>
              <w:jc w:val="left"/>
              <w:textAlignment w:val="bottom"/>
              <w:rPr>
                <w:rFonts w:hint="eastAsia" w:ascii="方正仿宋_GB2312" w:hAnsi="方正仿宋_GB2312" w:eastAsia="方正仿宋_GB2312" w:cs="方正仿宋_GB2312"/>
                <w:i w:val="0"/>
                <w:color w:val="auto"/>
                <w:sz w:val="28"/>
                <w:szCs w:val="28"/>
                <w:u w:val="none"/>
              </w:rPr>
            </w:pPr>
            <w:r>
              <w:rPr>
                <w:rFonts w:hint="eastAsia" w:ascii="方正仿宋_GB2312" w:hAnsi="方正仿宋_GB2312" w:eastAsia="方正仿宋_GB2312" w:cs="方正仿宋_GB2312"/>
                <w:i w:val="0"/>
                <w:snapToGrid w:val="0"/>
                <w:color w:val="auto"/>
                <w:kern w:val="0"/>
                <w:sz w:val="28"/>
                <w:szCs w:val="28"/>
                <w:u w:val="none"/>
                <w:lang w:val="en-US" w:eastAsia="zh-CN" w:bidi="ar"/>
              </w:rPr>
              <w:t>（盖单位公章）</w:t>
            </w:r>
          </w:p>
        </w:tc>
      </w:tr>
    </w:tbl>
    <w:p w14:paraId="1D4864D4">
      <w:pPr>
        <w:autoSpaceDE w:val="0"/>
        <w:autoSpaceDN w:val="0"/>
        <w:adjustRightInd w:val="0"/>
        <w:snapToGrid w:val="0"/>
        <w:spacing w:line="360" w:lineRule="auto"/>
        <w:rPr>
          <w:rFonts w:ascii="宋体" w:hAnsi="宋体"/>
          <w:color w:val="auto"/>
          <w:kern w:val="0"/>
          <w:sz w:val="20"/>
          <w:szCs w:val="20"/>
          <w:highlight w:val="none"/>
        </w:rPr>
      </w:pPr>
    </w:p>
    <w:p w14:paraId="1ABE6588">
      <w:pPr>
        <w:rPr>
          <w:color w:val="auto"/>
        </w:rPr>
      </w:pPr>
    </w:p>
    <w:p w14:paraId="7018AA97">
      <w:pPr>
        <w:autoSpaceDE w:val="0"/>
        <w:autoSpaceDN w:val="0"/>
        <w:adjustRightInd w:val="0"/>
        <w:snapToGrid w:val="0"/>
        <w:spacing w:line="360" w:lineRule="auto"/>
        <w:jc w:val="center"/>
        <w:rPr>
          <w:rFonts w:ascii="宋体" w:hAnsi="宋体"/>
          <w:bCs/>
          <w:color w:val="auto"/>
          <w:kern w:val="0"/>
          <w:sz w:val="28"/>
          <w:szCs w:val="28"/>
          <w:highlight w:val="none"/>
        </w:rPr>
      </w:pPr>
    </w:p>
    <w:p w14:paraId="54B3FEBF">
      <w:pPr>
        <w:jc w:val="center"/>
        <w:rPr>
          <w:rFonts w:hint="eastAsia" w:ascii="方正仿宋_GB2312" w:hAnsi="方正仿宋_GB2312" w:eastAsia="方正仿宋_GB2312" w:cs="方正仿宋_GB2312"/>
          <w:color w:val="auto"/>
          <w:sz w:val="28"/>
          <w:highlight w:val="none"/>
        </w:rPr>
      </w:pPr>
      <w:bookmarkStart w:id="0" w:name="_Toc536796736"/>
      <w:bookmarkStart w:id="1" w:name="_Toc536797277"/>
      <w:bookmarkStart w:id="2" w:name="_Toc536621766"/>
      <w:bookmarkStart w:id="3" w:name="_Toc13210649"/>
      <w:bookmarkStart w:id="4" w:name="_Toc509218549"/>
      <w:r>
        <w:rPr>
          <w:rFonts w:hint="eastAsia" w:ascii="方正仿宋_GB2312" w:hAnsi="方正仿宋_GB2312" w:eastAsia="方正仿宋_GB2312" w:cs="方正仿宋_GB2312"/>
          <w:bCs/>
          <w:color w:val="auto"/>
          <w:spacing w:val="8"/>
          <w:kern w:val="0"/>
          <w:sz w:val="28"/>
          <w:szCs w:val="28"/>
          <w:highlight w:val="none"/>
          <w:u w:val="single"/>
          <w:lang w:val="en-US" w:eastAsia="zh-CN"/>
        </w:rPr>
        <w:t>2026</w:t>
      </w:r>
      <w:r>
        <w:rPr>
          <w:rFonts w:hint="eastAsia" w:ascii="方正仿宋_GB2312" w:hAnsi="方正仿宋_GB2312" w:eastAsia="方正仿宋_GB2312" w:cs="方正仿宋_GB2312"/>
          <w:bCs/>
          <w:color w:val="auto"/>
          <w:spacing w:val="8"/>
          <w:kern w:val="0"/>
          <w:sz w:val="28"/>
          <w:szCs w:val="28"/>
          <w:highlight w:val="none"/>
        </w:rPr>
        <w:t>年</w:t>
      </w:r>
      <w:r>
        <w:rPr>
          <w:rFonts w:hint="eastAsia" w:ascii="方正仿宋_GB2312" w:hAnsi="方正仿宋_GB2312" w:eastAsia="方正仿宋_GB2312" w:cs="方正仿宋_GB2312"/>
          <w:bCs/>
          <w:color w:val="auto"/>
          <w:spacing w:val="8"/>
          <w:kern w:val="0"/>
          <w:sz w:val="28"/>
          <w:szCs w:val="28"/>
          <w:highlight w:val="none"/>
          <w:u w:val="single"/>
          <w:lang w:val="en-US" w:eastAsia="zh-CN"/>
        </w:rPr>
        <w:t>07</w:t>
      </w:r>
      <w:r>
        <w:rPr>
          <w:rFonts w:hint="eastAsia" w:ascii="方正仿宋_GB2312" w:hAnsi="方正仿宋_GB2312" w:eastAsia="方正仿宋_GB2312" w:cs="方正仿宋_GB2312"/>
          <w:bCs/>
          <w:color w:val="auto"/>
          <w:spacing w:val="8"/>
          <w:kern w:val="0"/>
          <w:sz w:val="28"/>
          <w:szCs w:val="28"/>
          <w:highlight w:val="none"/>
        </w:rPr>
        <w:t>月</w:t>
      </w:r>
      <w:bookmarkEnd w:id="0"/>
      <w:bookmarkEnd w:id="1"/>
      <w:bookmarkEnd w:id="2"/>
      <w:bookmarkEnd w:id="3"/>
      <w:bookmarkEnd w:id="4"/>
    </w:p>
    <w:p w14:paraId="5A902DF6">
      <w:pPr>
        <w:pStyle w:val="6"/>
        <w:ind w:firstLine="624"/>
        <w:rPr>
          <w:color w:val="auto"/>
        </w:rPr>
      </w:pPr>
    </w:p>
    <w:p w14:paraId="47401384">
      <w:pPr>
        <w:rPr>
          <w:color w:val="auto"/>
        </w:rPr>
      </w:pPr>
    </w:p>
    <w:p w14:paraId="57754331">
      <w:pPr>
        <w:pStyle w:val="6"/>
        <w:rPr>
          <w:color w:val="auto"/>
        </w:rPr>
      </w:pPr>
    </w:p>
    <w:p w14:paraId="70D34E6B">
      <w:pPr>
        <w:pStyle w:val="11"/>
        <w:tabs>
          <w:tab w:val="right" w:leader="dot" w:pos="8307"/>
        </w:tabs>
        <w:jc w:val="center"/>
        <w:rPr>
          <w:rFonts w:hint="eastAsia" w:ascii="方正黑体_GBK" w:hAnsi="方正黑体_GBK" w:eastAsia="方正黑体_GBK" w:cs="方正黑体_GBK"/>
          <w:b/>
          <w:bCs/>
          <w:color w:val="auto"/>
          <w:sz w:val="44"/>
          <w:szCs w:val="44"/>
          <w:lang w:val="en-US" w:eastAsia="zh-CN"/>
        </w:rPr>
      </w:pPr>
    </w:p>
    <w:p w14:paraId="2895AC8D">
      <w:pPr>
        <w:rPr>
          <w:rFonts w:hint="eastAsia"/>
          <w:lang w:val="en-US" w:eastAsia="zh-CN"/>
        </w:rPr>
      </w:pPr>
    </w:p>
    <w:p w14:paraId="086F0B27">
      <w:pPr>
        <w:pStyle w:val="11"/>
        <w:tabs>
          <w:tab w:val="right" w:leader="dot" w:pos="8307"/>
        </w:tabs>
        <w:jc w:val="center"/>
        <w:rPr>
          <w:rFonts w:hint="eastAsia" w:ascii="方正黑体_GBK" w:hAnsi="方正黑体_GBK" w:eastAsia="方正黑体_GBK" w:cs="方正黑体_GBK"/>
          <w:b/>
          <w:bCs/>
          <w:color w:val="auto"/>
          <w:sz w:val="44"/>
          <w:szCs w:val="44"/>
          <w:lang w:val="en-US" w:eastAsia="zh-CN"/>
        </w:rPr>
      </w:pPr>
      <w:r>
        <w:rPr>
          <w:rFonts w:hint="eastAsia" w:ascii="方正黑体_GBK" w:hAnsi="方正黑体_GBK" w:eastAsia="方正黑体_GBK" w:cs="方正黑体_GBK"/>
          <w:b/>
          <w:bCs/>
          <w:color w:val="auto"/>
          <w:sz w:val="44"/>
          <w:szCs w:val="44"/>
          <w:lang w:val="en-US" w:eastAsia="zh-CN"/>
        </w:rPr>
        <w:t>目录</w:t>
      </w:r>
    </w:p>
    <w:p w14:paraId="6F12093A">
      <w:pPr>
        <w:pStyle w:val="11"/>
        <w:tabs>
          <w:tab w:val="right" w:leader="dot" w:pos="8306"/>
        </w:tabs>
        <w:rPr>
          <w:rFonts w:hint="eastAsia" w:ascii="方正仿宋_GB18030" w:hAnsi="方正仿宋_GB18030" w:eastAsia="方正仿宋_GB18030" w:cs="方正仿宋_GB18030"/>
        </w:rPr>
      </w:pPr>
      <w:r>
        <w:rPr>
          <w:color w:val="auto"/>
        </w:rPr>
        <w:fldChar w:fldCharType="begin"/>
      </w:r>
      <w:r>
        <w:rPr>
          <w:color w:val="auto"/>
        </w:rPr>
        <w:instrText xml:space="preserve">TOC \o "1-3" \h \u </w:instrText>
      </w:r>
      <w:r>
        <w:rPr>
          <w:color w:val="auto"/>
        </w:rPr>
        <w:fldChar w:fldCharType="separate"/>
      </w:r>
      <w:r>
        <w:rPr>
          <w:rFonts w:hint="eastAsia" w:ascii="方正仿宋_GB18030" w:hAnsi="方正仿宋_GB18030" w:eastAsia="方正仿宋_GB18030" w:cs="方正仿宋_GB18030"/>
          <w:color w:val="auto"/>
        </w:rPr>
        <w:fldChar w:fldCharType="begin"/>
      </w:r>
      <w:r>
        <w:rPr>
          <w:rFonts w:hint="eastAsia" w:ascii="方正仿宋_GB18030" w:hAnsi="方正仿宋_GB18030" w:eastAsia="方正仿宋_GB18030" w:cs="方正仿宋_GB18030"/>
        </w:rPr>
        <w:instrText xml:space="preserve"> HYPERLINK \l _Toc19403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snapToGrid w:val="0"/>
          <w:kern w:val="0"/>
          <w:highlight w:val="none"/>
        </w:rPr>
        <w:t>第一章</w:t>
      </w:r>
      <w:r>
        <w:rPr>
          <w:rFonts w:hint="eastAsia" w:ascii="方正仿宋_GB18030" w:hAnsi="方正仿宋_GB18030" w:eastAsia="方正仿宋_GB18030" w:cs="方正仿宋_GB18030"/>
          <w:snapToGrid w:val="0"/>
          <w:kern w:val="0"/>
          <w:highlight w:val="none"/>
          <w:lang w:val="en-US" w:eastAsia="zh-CN"/>
        </w:rPr>
        <w:t xml:space="preserve"> 比选</w:t>
      </w:r>
      <w:r>
        <w:rPr>
          <w:rFonts w:hint="eastAsia" w:ascii="方正仿宋_GB18030" w:hAnsi="方正仿宋_GB18030" w:eastAsia="方正仿宋_GB18030" w:cs="方正仿宋_GB18030"/>
          <w:snapToGrid w:val="0"/>
          <w:kern w:val="0"/>
          <w:highlight w:val="none"/>
        </w:rPr>
        <w:t>公告</w:t>
      </w:r>
      <w:r>
        <w:rPr>
          <w:rFonts w:hint="eastAsia" w:ascii="方正仿宋_GB18030" w:hAnsi="方正仿宋_GB18030" w:eastAsia="方正仿宋_GB18030" w:cs="方正仿宋_GB18030"/>
        </w:rPr>
        <w:tab/>
      </w:r>
      <w:r>
        <w:rPr>
          <w:rFonts w:hint="eastAsia" w:ascii="方正仿宋_GB18030" w:hAnsi="方正仿宋_GB18030" w:eastAsia="方正仿宋_GB18030" w:cs="方正仿宋_GB18030"/>
        </w:rPr>
        <w:fldChar w:fldCharType="begin"/>
      </w:r>
      <w:r>
        <w:rPr>
          <w:rFonts w:hint="eastAsia" w:ascii="方正仿宋_GB18030" w:hAnsi="方正仿宋_GB18030" w:eastAsia="方正仿宋_GB18030" w:cs="方正仿宋_GB18030"/>
        </w:rPr>
        <w:instrText xml:space="preserve"> PAGEREF _Toc19403 \h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rPr>
        <w:t>- 3 -</w:t>
      </w:r>
      <w:r>
        <w:rPr>
          <w:rFonts w:hint="eastAsia" w:ascii="方正仿宋_GB18030" w:hAnsi="方正仿宋_GB18030" w:eastAsia="方正仿宋_GB18030" w:cs="方正仿宋_GB18030"/>
        </w:rPr>
        <w:fldChar w:fldCharType="end"/>
      </w:r>
      <w:r>
        <w:rPr>
          <w:rFonts w:hint="eastAsia" w:ascii="方正仿宋_GB18030" w:hAnsi="方正仿宋_GB18030" w:eastAsia="方正仿宋_GB18030" w:cs="方正仿宋_GB18030"/>
          <w:color w:val="auto"/>
        </w:rPr>
        <w:fldChar w:fldCharType="end"/>
      </w:r>
    </w:p>
    <w:p w14:paraId="079C5789">
      <w:pPr>
        <w:pStyle w:val="11"/>
        <w:tabs>
          <w:tab w:val="right" w:leader="dot" w:pos="8306"/>
        </w:tabs>
        <w:rPr>
          <w:rFonts w:hint="eastAsia" w:ascii="方正仿宋_GB18030" w:hAnsi="方正仿宋_GB18030" w:eastAsia="方正仿宋_GB18030" w:cs="方正仿宋_GB18030"/>
        </w:rPr>
      </w:pPr>
      <w:r>
        <w:rPr>
          <w:rFonts w:hint="eastAsia" w:ascii="方正仿宋_GB18030" w:hAnsi="方正仿宋_GB18030" w:eastAsia="方正仿宋_GB18030" w:cs="方正仿宋_GB18030"/>
          <w:color w:val="auto"/>
        </w:rPr>
        <w:fldChar w:fldCharType="begin"/>
      </w:r>
      <w:r>
        <w:rPr>
          <w:rFonts w:hint="eastAsia" w:ascii="方正仿宋_GB18030" w:hAnsi="方正仿宋_GB18030" w:eastAsia="方正仿宋_GB18030" w:cs="方正仿宋_GB18030"/>
        </w:rPr>
        <w:instrText xml:space="preserve"> HYPERLINK \l _Toc27337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snapToGrid w:val="0"/>
          <w:kern w:val="0"/>
          <w:highlight w:val="none"/>
          <w:lang w:val="en-US" w:eastAsia="zh-CN" w:bidi="ar-SA"/>
        </w:rPr>
        <w:t>第二章 竞选人须知</w:t>
      </w:r>
      <w:r>
        <w:rPr>
          <w:rFonts w:hint="eastAsia" w:ascii="方正仿宋_GB18030" w:hAnsi="方正仿宋_GB18030" w:eastAsia="方正仿宋_GB18030" w:cs="方正仿宋_GB18030"/>
        </w:rPr>
        <w:tab/>
      </w:r>
      <w:r>
        <w:rPr>
          <w:rFonts w:hint="eastAsia" w:ascii="方正仿宋_GB18030" w:hAnsi="方正仿宋_GB18030" w:eastAsia="方正仿宋_GB18030" w:cs="方正仿宋_GB18030"/>
        </w:rPr>
        <w:fldChar w:fldCharType="begin"/>
      </w:r>
      <w:r>
        <w:rPr>
          <w:rFonts w:hint="eastAsia" w:ascii="方正仿宋_GB18030" w:hAnsi="方正仿宋_GB18030" w:eastAsia="方正仿宋_GB18030" w:cs="方正仿宋_GB18030"/>
        </w:rPr>
        <w:instrText xml:space="preserve"> PAGEREF _Toc27337 \h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rPr>
        <w:t>- 6 -</w:t>
      </w:r>
      <w:r>
        <w:rPr>
          <w:rFonts w:hint="eastAsia" w:ascii="方正仿宋_GB18030" w:hAnsi="方正仿宋_GB18030" w:eastAsia="方正仿宋_GB18030" w:cs="方正仿宋_GB18030"/>
        </w:rPr>
        <w:fldChar w:fldCharType="end"/>
      </w:r>
      <w:r>
        <w:rPr>
          <w:rFonts w:hint="eastAsia" w:ascii="方正仿宋_GB18030" w:hAnsi="方正仿宋_GB18030" w:eastAsia="方正仿宋_GB18030" w:cs="方正仿宋_GB18030"/>
          <w:color w:val="auto"/>
        </w:rPr>
        <w:fldChar w:fldCharType="end"/>
      </w:r>
    </w:p>
    <w:p w14:paraId="2D5E2968">
      <w:pPr>
        <w:pStyle w:val="11"/>
        <w:tabs>
          <w:tab w:val="right" w:leader="dot" w:pos="8306"/>
        </w:tabs>
        <w:rPr>
          <w:rFonts w:hint="eastAsia" w:ascii="方正仿宋_GB18030" w:hAnsi="方正仿宋_GB18030" w:eastAsia="方正仿宋_GB18030" w:cs="方正仿宋_GB18030"/>
        </w:rPr>
      </w:pPr>
      <w:r>
        <w:rPr>
          <w:rFonts w:hint="eastAsia" w:ascii="方正仿宋_GB18030" w:hAnsi="方正仿宋_GB18030" w:eastAsia="方正仿宋_GB18030" w:cs="方正仿宋_GB18030"/>
          <w:color w:val="auto"/>
        </w:rPr>
        <w:fldChar w:fldCharType="begin"/>
      </w:r>
      <w:r>
        <w:rPr>
          <w:rFonts w:hint="eastAsia" w:ascii="方正仿宋_GB18030" w:hAnsi="方正仿宋_GB18030" w:eastAsia="方正仿宋_GB18030" w:cs="方正仿宋_GB18030"/>
        </w:rPr>
        <w:instrText xml:space="preserve"> HYPERLINK \l _Toc27221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snapToGrid/>
          <w:highlight w:val="none"/>
          <w:lang w:val="en-US" w:eastAsia="zh-CN" w:bidi="ar-SA"/>
        </w:rPr>
        <w:t>第三章 评审办法（经评审的最低价法）</w:t>
      </w:r>
      <w:r>
        <w:rPr>
          <w:rFonts w:hint="eastAsia" w:ascii="方正仿宋_GB18030" w:hAnsi="方正仿宋_GB18030" w:eastAsia="方正仿宋_GB18030" w:cs="方正仿宋_GB18030"/>
        </w:rPr>
        <w:tab/>
      </w:r>
      <w:r>
        <w:rPr>
          <w:rFonts w:hint="eastAsia" w:ascii="方正仿宋_GB18030" w:hAnsi="方正仿宋_GB18030" w:eastAsia="方正仿宋_GB18030" w:cs="方正仿宋_GB18030"/>
        </w:rPr>
        <w:fldChar w:fldCharType="begin"/>
      </w:r>
      <w:r>
        <w:rPr>
          <w:rFonts w:hint="eastAsia" w:ascii="方正仿宋_GB18030" w:hAnsi="方正仿宋_GB18030" w:eastAsia="方正仿宋_GB18030" w:cs="方正仿宋_GB18030"/>
        </w:rPr>
        <w:instrText xml:space="preserve"> PAGEREF _Toc27221 \h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rPr>
        <w:t>- 31 -</w:t>
      </w:r>
      <w:r>
        <w:rPr>
          <w:rFonts w:hint="eastAsia" w:ascii="方正仿宋_GB18030" w:hAnsi="方正仿宋_GB18030" w:eastAsia="方正仿宋_GB18030" w:cs="方正仿宋_GB18030"/>
        </w:rPr>
        <w:fldChar w:fldCharType="end"/>
      </w:r>
      <w:r>
        <w:rPr>
          <w:rFonts w:hint="eastAsia" w:ascii="方正仿宋_GB18030" w:hAnsi="方正仿宋_GB18030" w:eastAsia="方正仿宋_GB18030" w:cs="方正仿宋_GB18030"/>
          <w:color w:val="auto"/>
        </w:rPr>
        <w:fldChar w:fldCharType="end"/>
      </w:r>
    </w:p>
    <w:p w14:paraId="7C202CD4">
      <w:pPr>
        <w:pStyle w:val="11"/>
        <w:tabs>
          <w:tab w:val="right" w:leader="dot" w:pos="8306"/>
        </w:tabs>
        <w:rPr>
          <w:rFonts w:hint="eastAsia" w:ascii="方正仿宋_GB18030" w:hAnsi="方正仿宋_GB18030" w:eastAsia="方正仿宋_GB18030" w:cs="方正仿宋_GB18030"/>
        </w:rPr>
      </w:pPr>
      <w:r>
        <w:rPr>
          <w:rFonts w:hint="eastAsia" w:ascii="方正仿宋_GB18030" w:hAnsi="方正仿宋_GB18030" w:eastAsia="方正仿宋_GB18030" w:cs="方正仿宋_GB18030"/>
          <w:color w:val="auto"/>
        </w:rPr>
        <w:fldChar w:fldCharType="begin"/>
      </w:r>
      <w:r>
        <w:rPr>
          <w:rFonts w:hint="eastAsia" w:ascii="方正仿宋_GB18030" w:hAnsi="方正仿宋_GB18030" w:eastAsia="方正仿宋_GB18030" w:cs="方正仿宋_GB18030"/>
        </w:rPr>
        <w:instrText xml:space="preserve"> HYPERLINK \l _Toc32401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kern w:val="0"/>
          <w:highlight w:val="none"/>
          <w:lang w:val="en-US" w:eastAsia="zh-CN"/>
        </w:rPr>
        <w:t>第四章</w:t>
      </w:r>
      <w:r>
        <w:rPr>
          <w:rFonts w:hint="eastAsia" w:ascii="方正仿宋_GB18030" w:hAnsi="方正仿宋_GB18030" w:eastAsia="方正仿宋_GB18030" w:cs="方正仿宋_GB18030"/>
          <w:kern w:val="0"/>
          <w:highlight w:val="none"/>
        </w:rPr>
        <w:t xml:space="preserve"> 合同条款及格式</w:t>
      </w:r>
      <w:r>
        <w:rPr>
          <w:rFonts w:hint="eastAsia" w:ascii="方正仿宋_GB18030" w:hAnsi="方正仿宋_GB18030" w:eastAsia="方正仿宋_GB18030" w:cs="方正仿宋_GB18030"/>
        </w:rPr>
        <w:tab/>
      </w:r>
      <w:r>
        <w:rPr>
          <w:rFonts w:hint="eastAsia" w:ascii="方正仿宋_GB18030" w:hAnsi="方正仿宋_GB18030" w:eastAsia="方正仿宋_GB18030" w:cs="方正仿宋_GB18030"/>
        </w:rPr>
        <w:fldChar w:fldCharType="begin"/>
      </w:r>
      <w:r>
        <w:rPr>
          <w:rFonts w:hint="eastAsia" w:ascii="方正仿宋_GB18030" w:hAnsi="方正仿宋_GB18030" w:eastAsia="方正仿宋_GB18030" w:cs="方正仿宋_GB18030"/>
        </w:rPr>
        <w:instrText xml:space="preserve"> PAGEREF _Toc32401 \h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rPr>
        <w:t>- 37 -</w:t>
      </w:r>
      <w:r>
        <w:rPr>
          <w:rFonts w:hint="eastAsia" w:ascii="方正仿宋_GB18030" w:hAnsi="方正仿宋_GB18030" w:eastAsia="方正仿宋_GB18030" w:cs="方正仿宋_GB18030"/>
        </w:rPr>
        <w:fldChar w:fldCharType="end"/>
      </w:r>
      <w:r>
        <w:rPr>
          <w:rFonts w:hint="eastAsia" w:ascii="方正仿宋_GB18030" w:hAnsi="方正仿宋_GB18030" w:eastAsia="方正仿宋_GB18030" w:cs="方正仿宋_GB18030"/>
          <w:color w:val="auto"/>
        </w:rPr>
        <w:fldChar w:fldCharType="end"/>
      </w:r>
    </w:p>
    <w:p w14:paraId="7E400629">
      <w:pPr>
        <w:pStyle w:val="11"/>
        <w:tabs>
          <w:tab w:val="right" w:leader="dot" w:pos="8306"/>
        </w:tabs>
        <w:rPr>
          <w:rFonts w:hint="eastAsia" w:ascii="方正仿宋_GB18030" w:hAnsi="方正仿宋_GB18030" w:eastAsia="方正仿宋_GB18030" w:cs="方正仿宋_GB18030"/>
        </w:rPr>
      </w:pPr>
      <w:r>
        <w:rPr>
          <w:rFonts w:hint="eastAsia" w:ascii="方正仿宋_GB18030" w:hAnsi="方正仿宋_GB18030" w:eastAsia="方正仿宋_GB18030" w:cs="方正仿宋_GB18030"/>
          <w:color w:val="auto"/>
        </w:rPr>
        <w:fldChar w:fldCharType="begin"/>
      </w:r>
      <w:r>
        <w:rPr>
          <w:rFonts w:hint="eastAsia" w:ascii="方正仿宋_GB18030" w:hAnsi="方正仿宋_GB18030" w:eastAsia="方正仿宋_GB18030" w:cs="方正仿宋_GB18030"/>
        </w:rPr>
        <w:instrText xml:space="preserve"> HYPERLINK \l _Toc877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snapToGrid/>
          <w:highlight w:val="none"/>
          <w:lang w:val="en-US" w:eastAsia="zh-CN" w:bidi="ar-SA"/>
        </w:rPr>
        <w:t>第五章 竞选文件格式</w:t>
      </w:r>
      <w:r>
        <w:rPr>
          <w:rFonts w:hint="eastAsia" w:ascii="方正仿宋_GB18030" w:hAnsi="方正仿宋_GB18030" w:eastAsia="方正仿宋_GB18030" w:cs="方正仿宋_GB18030"/>
        </w:rPr>
        <w:tab/>
      </w:r>
      <w:r>
        <w:rPr>
          <w:rFonts w:hint="eastAsia" w:ascii="方正仿宋_GB18030" w:hAnsi="方正仿宋_GB18030" w:eastAsia="方正仿宋_GB18030" w:cs="方正仿宋_GB18030"/>
        </w:rPr>
        <w:fldChar w:fldCharType="begin"/>
      </w:r>
      <w:r>
        <w:rPr>
          <w:rFonts w:hint="eastAsia" w:ascii="方正仿宋_GB18030" w:hAnsi="方正仿宋_GB18030" w:eastAsia="方正仿宋_GB18030" w:cs="方正仿宋_GB18030"/>
        </w:rPr>
        <w:instrText xml:space="preserve"> PAGEREF _Toc877 \h </w:instrText>
      </w:r>
      <w:r>
        <w:rPr>
          <w:rFonts w:hint="eastAsia" w:ascii="方正仿宋_GB18030" w:hAnsi="方正仿宋_GB18030" w:eastAsia="方正仿宋_GB18030" w:cs="方正仿宋_GB18030"/>
        </w:rPr>
        <w:fldChar w:fldCharType="separate"/>
      </w:r>
      <w:r>
        <w:rPr>
          <w:rFonts w:hint="eastAsia" w:ascii="方正仿宋_GB18030" w:hAnsi="方正仿宋_GB18030" w:eastAsia="方正仿宋_GB18030" w:cs="方正仿宋_GB18030"/>
        </w:rPr>
        <w:t>- 48 -</w:t>
      </w:r>
      <w:r>
        <w:rPr>
          <w:rFonts w:hint="eastAsia" w:ascii="方正仿宋_GB18030" w:hAnsi="方正仿宋_GB18030" w:eastAsia="方正仿宋_GB18030" w:cs="方正仿宋_GB18030"/>
        </w:rPr>
        <w:fldChar w:fldCharType="end"/>
      </w:r>
      <w:r>
        <w:rPr>
          <w:rFonts w:hint="eastAsia" w:ascii="方正仿宋_GB18030" w:hAnsi="方正仿宋_GB18030" w:eastAsia="方正仿宋_GB18030" w:cs="方正仿宋_GB18030"/>
          <w:color w:val="auto"/>
        </w:rPr>
        <w:fldChar w:fldCharType="end"/>
      </w:r>
    </w:p>
    <w:p w14:paraId="46C7DD2D">
      <w:pPr>
        <w:pStyle w:val="13"/>
        <w:tabs>
          <w:tab w:val="right" w:leader="dot" w:pos="8306"/>
        </w:tabs>
      </w:pPr>
    </w:p>
    <w:p w14:paraId="75A4E07C">
      <w:pPr>
        <w:pStyle w:val="2"/>
        <w:widowControl w:val="0"/>
        <w:kinsoku/>
        <w:autoSpaceDE/>
        <w:autoSpaceDN/>
        <w:adjustRightInd/>
        <w:snapToGrid/>
        <w:spacing w:before="0" w:after="0" w:line="360" w:lineRule="auto"/>
        <w:jc w:val="center"/>
        <w:textAlignment w:val="auto"/>
        <w:rPr>
          <w:color w:val="auto"/>
        </w:rPr>
      </w:pPr>
      <w:r>
        <w:rPr>
          <w:color w:val="auto"/>
        </w:rPr>
        <w:fldChar w:fldCharType="end"/>
      </w:r>
    </w:p>
    <w:p w14:paraId="738F6F6F">
      <w:pPr>
        <w:rPr>
          <w:color w:val="auto"/>
        </w:rPr>
      </w:pPr>
      <w:r>
        <w:rPr>
          <w:color w:val="auto"/>
        </w:rPr>
        <w:br w:type="page"/>
      </w:r>
    </w:p>
    <w:p w14:paraId="179D1BF2">
      <w:pPr>
        <w:pStyle w:val="2"/>
        <w:pageBreakBefore w:val="0"/>
        <w:widowControl/>
        <w:kinsoku w:val="0"/>
        <w:wordWrap/>
        <w:overflowPunct/>
        <w:topLinePunct w:val="0"/>
        <w:autoSpaceDE w:val="0"/>
        <w:autoSpaceDN w:val="0"/>
        <w:bidi w:val="0"/>
        <w:adjustRightInd w:val="0"/>
        <w:snapToGrid w:val="0"/>
        <w:spacing w:before="0" w:after="0" w:line="360" w:lineRule="auto"/>
        <w:jc w:val="center"/>
        <w:textAlignment w:val="baseline"/>
        <w:rPr>
          <w:rFonts w:hint="eastAsia" w:ascii="方正黑体_GBK" w:hAnsi="方正黑体_GBK" w:eastAsia="方正黑体_GBK" w:cs="方正黑体_GBK"/>
          <w:snapToGrid w:val="0"/>
          <w:color w:val="auto"/>
          <w:kern w:val="0"/>
          <w:highlight w:val="none"/>
        </w:rPr>
      </w:pPr>
      <w:bookmarkStart w:id="5" w:name="_Toc287607727"/>
      <w:bookmarkStart w:id="6" w:name="_Toc430530415"/>
      <w:bookmarkStart w:id="7" w:name="_Toc509218691"/>
      <w:bookmarkStart w:id="8" w:name="_Toc2724"/>
      <w:bookmarkStart w:id="9" w:name="_Toc277082535"/>
      <w:bookmarkStart w:id="10" w:name="_Toc57820541"/>
      <w:bookmarkStart w:id="11" w:name="_Toc224103298"/>
      <w:bookmarkStart w:id="12" w:name="_Toc19403"/>
      <w:bookmarkStart w:id="13" w:name="_Toc287620666"/>
      <w:r>
        <w:rPr>
          <w:rFonts w:hint="eastAsia" w:ascii="方正黑体_GBK" w:hAnsi="方正黑体_GBK" w:eastAsia="方正黑体_GBK" w:cs="方正黑体_GBK"/>
          <w:snapToGrid w:val="0"/>
          <w:color w:val="auto"/>
          <w:kern w:val="0"/>
          <w:highlight w:val="none"/>
        </w:rPr>
        <w:t>第一章</w:t>
      </w:r>
      <w:r>
        <w:rPr>
          <w:rFonts w:hint="eastAsia" w:ascii="方正黑体_GBK" w:hAnsi="方正黑体_GBK" w:eastAsia="方正黑体_GBK" w:cs="方正黑体_GBK"/>
          <w:snapToGrid w:val="0"/>
          <w:color w:val="auto"/>
          <w:kern w:val="0"/>
          <w:highlight w:val="none"/>
          <w:lang w:val="en-US" w:eastAsia="zh-CN"/>
        </w:rPr>
        <w:t xml:space="preserve"> 比选</w:t>
      </w:r>
      <w:r>
        <w:rPr>
          <w:rFonts w:hint="eastAsia" w:ascii="方正黑体_GBK" w:hAnsi="方正黑体_GBK" w:eastAsia="方正黑体_GBK" w:cs="方正黑体_GBK"/>
          <w:snapToGrid w:val="0"/>
          <w:color w:val="auto"/>
          <w:kern w:val="0"/>
          <w:highlight w:val="none"/>
        </w:rPr>
        <w:t>公告</w:t>
      </w:r>
      <w:bookmarkEnd w:id="5"/>
      <w:bookmarkEnd w:id="6"/>
      <w:bookmarkEnd w:id="7"/>
      <w:bookmarkEnd w:id="8"/>
      <w:bookmarkEnd w:id="9"/>
      <w:bookmarkEnd w:id="10"/>
      <w:bookmarkEnd w:id="11"/>
      <w:bookmarkEnd w:id="12"/>
      <w:bookmarkEnd w:id="13"/>
    </w:p>
    <w:p w14:paraId="5AFD869E">
      <w:pPr>
        <w:pStyle w:val="3"/>
        <w:pageBreakBefore w:val="0"/>
        <w:widowControl/>
        <w:kinsoku w:val="0"/>
        <w:wordWrap/>
        <w:overflowPunct/>
        <w:topLinePunct w:val="0"/>
        <w:autoSpaceDE w:val="0"/>
        <w:autoSpaceDN w:val="0"/>
        <w:bidi w:val="0"/>
        <w:adjustRightInd w:val="0"/>
        <w:snapToGrid w:val="0"/>
        <w:spacing w:before="0" w:after="0" w:line="360" w:lineRule="auto"/>
        <w:jc w:val="center"/>
        <w:textAlignment w:val="baseline"/>
        <w:rPr>
          <w:rFonts w:hint="eastAsia" w:ascii="方正仿宋_GBK" w:hAnsi="方正仿宋_GBK" w:eastAsia="方正仿宋_GBK" w:cs="方正仿宋_GBK"/>
          <w:b w:val="0"/>
          <w:bCs/>
          <w:spacing w:val="3"/>
          <w:sz w:val="32"/>
          <w:szCs w:val="32"/>
          <w:highlight w:val="none"/>
          <w:lang w:val="en-US" w:eastAsia="zh-CN"/>
        </w:rPr>
      </w:pPr>
      <w:bookmarkStart w:id="14" w:name="_Toc31597"/>
      <w:bookmarkStart w:id="15" w:name="_Toc492300546"/>
      <w:bookmarkStart w:id="16" w:name="_Toc8962"/>
      <w:r>
        <w:rPr>
          <w:rFonts w:hint="eastAsia" w:ascii="方正仿宋_GBK" w:hAnsi="方正仿宋_GBK" w:eastAsia="方正仿宋_GBK" w:cs="方正仿宋_GBK"/>
          <w:b w:val="0"/>
          <w:bCs/>
          <w:spacing w:val="3"/>
          <w:sz w:val="32"/>
          <w:szCs w:val="32"/>
          <w:highlight w:val="none"/>
          <w:lang w:val="en-US" w:eastAsia="zh-CN"/>
        </w:rPr>
        <w:t>2026年渝东南分公司（第一批）设备采购比选公告</w:t>
      </w:r>
    </w:p>
    <w:p w14:paraId="1C3BF4A8">
      <w:pPr>
        <w:pStyle w:val="3"/>
        <w:pageBreakBefore w:val="0"/>
        <w:widowControl/>
        <w:kinsoku w:val="0"/>
        <w:wordWrap/>
        <w:overflowPunct/>
        <w:topLinePunct w:val="0"/>
        <w:autoSpaceDE w:val="0"/>
        <w:autoSpaceDN w:val="0"/>
        <w:bidi w:val="0"/>
        <w:adjustRightInd w:val="0"/>
        <w:snapToGrid w:val="0"/>
        <w:spacing w:before="0" w:after="0" w:line="360" w:lineRule="auto"/>
        <w:jc w:val="center"/>
        <w:textAlignment w:val="baseline"/>
        <w:rPr>
          <w:rFonts w:hint="default"/>
          <w:lang w:val="en-US" w:eastAsia="zh-CN"/>
        </w:rPr>
      </w:pPr>
      <w:r>
        <w:rPr>
          <w:rFonts w:hint="eastAsia" w:ascii="方正仿宋_GBK" w:hAnsi="方正仿宋_GBK" w:eastAsia="方正仿宋_GBK" w:cs="方正仿宋_GBK"/>
          <w:b w:val="0"/>
          <w:bCs/>
          <w:spacing w:val="3"/>
          <w:sz w:val="32"/>
          <w:szCs w:val="32"/>
          <w:highlight w:val="none"/>
          <w:lang w:val="en-US" w:eastAsia="zh-CN"/>
        </w:rPr>
        <w:t>（第二次）</w:t>
      </w:r>
    </w:p>
    <w:p w14:paraId="52BFBB88">
      <w:pPr>
        <w:pStyle w:val="3"/>
        <w:pageBreakBefore w:val="0"/>
        <w:widowControl/>
        <w:kinsoku w:val="0"/>
        <w:wordWrap/>
        <w:overflowPunct/>
        <w:topLinePunct w:val="0"/>
        <w:autoSpaceDE w:val="0"/>
        <w:autoSpaceDN w:val="0"/>
        <w:bidi w:val="0"/>
        <w:adjustRightInd w:val="0"/>
        <w:snapToGrid w:val="0"/>
        <w:spacing w:before="0" w:after="0" w:line="360" w:lineRule="auto"/>
        <w:textAlignment w:val="baseline"/>
        <w:rPr>
          <w:rFonts w:hint="eastAsia" w:ascii="方正仿宋_GB18030" w:hAnsi="方正仿宋_GB18030" w:eastAsia="方正仿宋_GB18030" w:cs="方正仿宋_GB18030"/>
          <w:color w:val="auto"/>
          <w:sz w:val="28"/>
          <w:szCs w:val="28"/>
          <w:highlight w:val="none"/>
          <w:lang w:eastAsia="zh-CN"/>
        </w:rPr>
      </w:pPr>
      <w:r>
        <w:rPr>
          <w:rFonts w:hint="eastAsia" w:ascii="方正仿宋_GB18030" w:hAnsi="方正仿宋_GB18030" w:eastAsia="方正仿宋_GB18030" w:cs="方正仿宋_GB18030"/>
          <w:color w:val="auto"/>
          <w:sz w:val="28"/>
          <w:szCs w:val="28"/>
          <w:highlight w:val="none"/>
        </w:rPr>
        <w:t xml:space="preserve">1. </w:t>
      </w:r>
      <w:r>
        <w:rPr>
          <w:rFonts w:hint="eastAsia" w:ascii="方正仿宋_GB18030" w:hAnsi="方正仿宋_GB18030" w:eastAsia="方正仿宋_GB18030" w:cs="方正仿宋_GB18030"/>
          <w:color w:val="auto"/>
          <w:sz w:val="28"/>
          <w:szCs w:val="28"/>
          <w:highlight w:val="none"/>
          <w:lang w:eastAsia="zh-CN"/>
        </w:rPr>
        <w:t>比选</w:t>
      </w:r>
      <w:bookmarkEnd w:id="14"/>
      <w:bookmarkEnd w:id="15"/>
      <w:bookmarkEnd w:id="16"/>
      <w:r>
        <w:rPr>
          <w:rFonts w:hint="eastAsia" w:ascii="方正仿宋_GB18030" w:hAnsi="方正仿宋_GB18030" w:eastAsia="方正仿宋_GB18030" w:cs="方正仿宋_GB18030"/>
          <w:color w:val="auto"/>
          <w:sz w:val="28"/>
          <w:szCs w:val="28"/>
          <w:highlight w:val="none"/>
          <w:lang w:val="en-US" w:eastAsia="zh-CN"/>
        </w:rPr>
        <w:t>概况</w:t>
      </w:r>
    </w:p>
    <w:p w14:paraId="38E2E510">
      <w:pPr>
        <w:pageBreakBefore w:val="0"/>
        <w:widowControl/>
        <w:kinsoku w:val="0"/>
        <w:wordWrap/>
        <w:overflowPunct/>
        <w:topLinePunct w:val="0"/>
        <w:autoSpaceDE w:val="0"/>
        <w:autoSpaceDN w:val="0"/>
        <w:bidi w:val="0"/>
        <w:adjustRightInd w:val="0"/>
        <w:snapToGrid w:val="0"/>
        <w:spacing w:line="360" w:lineRule="auto"/>
        <w:ind w:firstLine="485" w:firstLineChars="231"/>
        <w:jc w:val="left"/>
        <w:textAlignment w:val="baseline"/>
        <w:rPr>
          <w:rFonts w:hint="eastAsia" w:ascii="方正仿宋_GBK" w:hAnsi="方正仿宋_GBK" w:eastAsia="方正仿宋_GBK" w:cs="方正仿宋_GBK"/>
          <w:snapToGrid w:val="0"/>
          <w:color w:val="auto"/>
          <w:kern w:val="0"/>
          <w:position w:val="-2"/>
          <w:sz w:val="21"/>
          <w:szCs w:val="21"/>
          <w:highlight w:val="none"/>
          <w:lang w:eastAsia="zh-CN"/>
        </w:rPr>
      </w:pPr>
      <w:r>
        <w:rPr>
          <w:rFonts w:hint="eastAsia" w:ascii="方正仿宋_GBK" w:hAnsi="方正仿宋_GBK" w:eastAsia="方正仿宋_GBK" w:cs="方正仿宋_GBK"/>
          <w:snapToGrid w:val="0"/>
          <w:color w:val="auto"/>
          <w:kern w:val="0"/>
          <w:sz w:val="21"/>
          <w:szCs w:val="21"/>
          <w:highlight w:val="none"/>
        </w:rPr>
        <w:t>本项目</w:t>
      </w:r>
      <w:r>
        <w:rPr>
          <w:rFonts w:hint="eastAsia" w:ascii="方正仿宋_GBK" w:hAnsi="方正仿宋_GBK" w:eastAsia="方正仿宋_GBK" w:cs="方正仿宋_GBK"/>
          <w:snapToGrid w:val="0"/>
          <w:color w:val="auto"/>
          <w:kern w:val="0"/>
          <w:sz w:val="21"/>
          <w:szCs w:val="21"/>
          <w:highlight w:val="none"/>
          <w:lang w:val="en-US" w:eastAsia="zh-CN"/>
        </w:rPr>
        <w:t>比选人</w:t>
      </w:r>
      <w:r>
        <w:rPr>
          <w:rFonts w:hint="eastAsia" w:ascii="方正仿宋_GBK" w:hAnsi="方正仿宋_GBK" w:eastAsia="方正仿宋_GBK" w:cs="方正仿宋_GBK"/>
          <w:snapToGrid w:val="0"/>
          <w:color w:val="auto"/>
          <w:kern w:val="0"/>
          <w:sz w:val="21"/>
          <w:szCs w:val="21"/>
          <w:highlight w:val="none"/>
        </w:rPr>
        <w:t>为</w:t>
      </w:r>
      <w:r>
        <w:rPr>
          <w:rFonts w:hint="eastAsia" w:ascii="方正仿宋_GBK" w:hAnsi="方正仿宋_GBK" w:eastAsia="方正仿宋_GBK" w:cs="方正仿宋_GBK"/>
          <w:snapToGrid w:val="0"/>
          <w:color w:val="auto"/>
          <w:kern w:val="0"/>
          <w:sz w:val="21"/>
          <w:szCs w:val="21"/>
          <w:highlight w:val="none"/>
          <w:u w:val="single"/>
          <w:lang w:eastAsia="zh-CN"/>
        </w:rPr>
        <w:t>重庆环保投资集团有限公司</w:t>
      </w:r>
      <w:r>
        <w:rPr>
          <w:rFonts w:hint="eastAsia" w:ascii="方正仿宋_GBK" w:hAnsi="方正仿宋_GBK" w:eastAsia="方正仿宋_GBK" w:cs="方正仿宋_GBK"/>
          <w:snapToGrid w:val="0"/>
          <w:color w:val="auto"/>
          <w:kern w:val="0"/>
          <w:sz w:val="21"/>
          <w:szCs w:val="21"/>
          <w:highlight w:val="none"/>
        </w:rPr>
        <w:t>，</w:t>
      </w:r>
      <w:r>
        <w:rPr>
          <w:rFonts w:hint="eastAsia" w:ascii="方正仿宋_GBK" w:hAnsi="方正仿宋_GBK" w:eastAsia="方正仿宋_GBK" w:cs="方正仿宋_GBK"/>
          <w:snapToGrid w:val="0"/>
          <w:color w:val="auto"/>
          <w:kern w:val="0"/>
          <w:sz w:val="21"/>
          <w:szCs w:val="21"/>
          <w:highlight w:val="none"/>
          <w:lang w:val="en-US" w:eastAsia="zh-CN"/>
        </w:rPr>
        <w:t>项目</w:t>
      </w:r>
      <w:r>
        <w:rPr>
          <w:rFonts w:hint="eastAsia" w:ascii="方正仿宋_GBK" w:hAnsi="方正仿宋_GBK" w:eastAsia="方正仿宋_GBK" w:cs="方正仿宋_GBK"/>
          <w:snapToGrid w:val="0"/>
          <w:color w:val="auto"/>
          <w:kern w:val="0"/>
          <w:sz w:val="21"/>
          <w:szCs w:val="21"/>
          <w:highlight w:val="none"/>
        </w:rPr>
        <w:t>资金来自</w:t>
      </w:r>
      <w:r>
        <w:rPr>
          <w:rFonts w:hint="eastAsia" w:ascii="方正仿宋_GBK" w:hAnsi="方正仿宋_GBK" w:eastAsia="方正仿宋_GBK" w:cs="方正仿宋_GBK"/>
          <w:snapToGrid w:val="0"/>
          <w:color w:val="auto"/>
          <w:kern w:val="0"/>
          <w:sz w:val="21"/>
          <w:szCs w:val="21"/>
          <w:highlight w:val="none"/>
          <w:u w:val="single"/>
          <w:lang w:eastAsia="zh-CN"/>
        </w:rPr>
        <w:t>自筹</w:t>
      </w:r>
      <w:r>
        <w:rPr>
          <w:rFonts w:hint="eastAsia" w:ascii="方正仿宋_GBK" w:hAnsi="方正仿宋_GBK" w:eastAsia="方正仿宋_GBK" w:cs="方正仿宋_GBK"/>
          <w:snapToGrid w:val="0"/>
          <w:color w:val="auto"/>
          <w:kern w:val="0"/>
          <w:sz w:val="21"/>
          <w:szCs w:val="21"/>
          <w:highlight w:val="none"/>
        </w:rPr>
        <w:t>，项目出资比例为</w:t>
      </w:r>
      <w:r>
        <w:rPr>
          <w:rFonts w:hint="eastAsia" w:ascii="方正仿宋_GBK" w:hAnsi="方正仿宋_GBK" w:eastAsia="方正仿宋_GBK" w:cs="方正仿宋_GBK"/>
          <w:snapToGrid w:val="0"/>
          <w:color w:val="auto"/>
          <w:kern w:val="0"/>
          <w:sz w:val="21"/>
          <w:szCs w:val="21"/>
          <w:highlight w:val="none"/>
          <w:u w:val="single"/>
          <w:lang w:val="en-US" w:eastAsia="zh-CN"/>
        </w:rPr>
        <w:t>100%</w:t>
      </w:r>
      <w:r>
        <w:rPr>
          <w:rFonts w:hint="eastAsia" w:ascii="方正仿宋_GBK" w:hAnsi="方正仿宋_GBK" w:eastAsia="方正仿宋_GBK" w:cs="方正仿宋_GBK"/>
          <w:snapToGrid w:val="0"/>
          <w:color w:val="auto"/>
          <w:kern w:val="0"/>
          <w:position w:val="-2"/>
          <w:sz w:val="21"/>
          <w:szCs w:val="21"/>
          <w:highlight w:val="none"/>
        </w:rPr>
        <w:t>。项目已具备</w:t>
      </w:r>
      <w:r>
        <w:rPr>
          <w:rFonts w:hint="eastAsia" w:ascii="方正仿宋_GBK" w:hAnsi="方正仿宋_GBK" w:eastAsia="方正仿宋_GBK" w:cs="方正仿宋_GBK"/>
          <w:snapToGrid w:val="0"/>
          <w:color w:val="auto"/>
          <w:kern w:val="0"/>
          <w:position w:val="-2"/>
          <w:sz w:val="21"/>
          <w:szCs w:val="21"/>
          <w:highlight w:val="none"/>
          <w:lang w:eastAsia="zh-CN"/>
        </w:rPr>
        <w:t>比选</w:t>
      </w:r>
      <w:r>
        <w:rPr>
          <w:rFonts w:hint="eastAsia" w:ascii="方正仿宋_GBK" w:hAnsi="方正仿宋_GBK" w:eastAsia="方正仿宋_GBK" w:cs="方正仿宋_GBK"/>
          <w:snapToGrid w:val="0"/>
          <w:color w:val="auto"/>
          <w:kern w:val="0"/>
          <w:position w:val="-2"/>
          <w:sz w:val="21"/>
          <w:szCs w:val="21"/>
          <w:highlight w:val="none"/>
        </w:rPr>
        <w:t>条件，现对</w:t>
      </w:r>
      <w:r>
        <w:rPr>
          <w:rFonts w:hint="eastAsia" w:ascii="方正仿宋_GBK" w:hAnsi="方正仿宋_GBK" w:eastAsia="方正仿宋_GBK" w:cs="方正仿宋_GBK"/>
          <w:snapToGrid w:val="0"/>
          <w:color w:val="auto"/>
          <w:kern w:val="0"/>
          <w:position w:val="-2"/>
          <w:sz w:val="21"/>
          <w:szCs w:val="21"/>
          <w:highlight w:val="none"/>
          <w:lang w:val="en-US" w:eastAsia="zh-CN"/>
        </w:rPr>
        <w:t>2026年渝东南分公司（第一批）设备采购</w:t>
      </w:r>
      <w:r>
        <w:rPr>
          <w:rFonts w:hint="eastAsia" w:ascii="方正仿宋_GBK" w:hAnsi="方正仿宋_GBK" w:eastAsia="方正仿宋_GBK" w:cs="方正仿宋_GBK"/>
          <w:snapToGrid w:val="0"/>
          <w:color w:val="auto"/>
          <w:kern w:val="0"/>
          <w:position w:val="-2"/>
          <w:sz w:val="21"/>
          <w:szCs w:val="21"/>
          <w:highlight w:val="none"/>
          <w:lang w:eastAsia="zh-CN"/>
        </w:rPr>
        <w:t>进行</w:t>
      </w:r>
      <w:r>
        <w:rPr>
          <w:rFonts w:hint="eastAsia" w:ascii="方正仿宋_GBK" w:hAnsi="方正仿宋_GBK" w:eastAsia="方正仿宋_GBK" w:cs="方正仿宋_GBK"/>
          <w:snapToGrid w:val="0"/>
          <w:color w:val="auto"/>
          <w:kern w:val="0"/>
          <w:position w:val="-2"/>
          <w:sz w:val="21"/>
          <w:szCs w:val="21"/>
          <w:highlight w:val="none"/>
          <w:lang w:val="en-US" w:eastAsia="zh-CN"/>
        </w:rPr>
        <w:t>比选</w:t>
      </w:r>
      <w:r>
        <w:rPr>
          <w:rFonts w:hint="eastAsia" w:ascii="方正仿宋_GBK" w:hAnsi="方正仿宋_GBK" w:eastAsia="方正仿宋_GBK" w:cs="方正仿宋_GBK"/>
          <w:snapToGrid w:val="0"/>
          <w:color w:val="auto"/>
          <w:kern w:val="0"/>
          <w:position w:val="-2"/>
          <w:sz w:val="21"/>
          <w:szCs w:val="21"/>
          <w:highlight w:val="none"/>
          <w:lang w:eastAsia="zh-CN"/>
        </w:rPr>
        <w:t>。</w:t>
      </w:r>
    </w:p>
    <w:p w14:paraId="29E160BF">
      <w:pPr>
        <w:pStyle w:val="3"/>
        <w:pageBreakBefore w:val="0"/>
        <w:widowControl/>
        <w:kinsoku w:val="0"/>
        <w:wordWrap/>
        <w:overflowPunct/>
        <w:topLinePunct w:val="0"/>
        <w:autoSpaceDE w:val="0"/>
        <w:autoSpaceDN w:val="0"/>
        <w:bidi w:val="0"/>
        <w:adjustRightInd w:val="0"/>
        <w:snapToGrid w:val="0"/>
        <w:spacing w:before="0" w:after="0" w:line="360" w:lineRule="auto"/>
        <w:textAlignment w:val="baseline"/>
        <w:rPr>
          <w:rFonts w:hint="eastAsia" w:ascii="方正仿宋_GB18030" w:hAnsi="方正仿宋_GB18030" w:eastAsia="方正仿宋_GB18030" w:cs="方正仿宋_GB18030"/>
          <w:color w:val="auto"/>
          <w:sz w:val="28"/>
          <w:szCs w:val="28"/>
          <w:highlight w:val="none"/>
        </w:rPr>
      </w:pPr>
      <w:bookmarkStart w:id="17" w:name="_Toc492300547"/>
      <w:bookmarkStart w:id="18" w:name="_Toc23667"/>
      <w:bookmarkStart w:id="19" w:name="_Toc23621"/>
      <w:r>
        <w:rPr>
          <w:rFonts w:hint="eastAsia" w:ascii="方正仿宋_GB18030" w:hAnsi="方正仿宋_GB18030" w:eastAsia="方正仿宋_GB18030" w:cs="方正仿宋_GB18030"/>
          <w:color w:val="auto"/>
          <w:sz w:val="28"/>
          <w:szCs w:val="28"/>
          <w:highlight w:val="none"/>
        </w:rPr>
        <w:t xml:space="preserve">2. </w:t>
      </w:r>
      <w:r>
        <w:rPr>
          <w:rFonts w:hint="eastAsia" w:ascii="方正仿宋_GB18030" w:hAnsi="方正仿宋_GB18030" w:eastAsia="方正仿宋_GB18030" w:cs="方正仿宋_GB18030"/>
          <w:color w:val="auto"/>
          <w:sz w:val="28"/>
          <w:szCs w:val="28"/>
          <w:highlight w:val="none"/>
          <w:lang w:val="en-US" w:eastAsia="zh-CN"/>
        </w:rPr>
        <w:t>比选内容和</w:t>
      </w:r>
      <w:r>
        <w:rPr>
          <w:rFonts w:hint="eastAsia" w:ascii="方正仿宋_GB18030" w:hAnsi="方正仿宋_GB18030" w:eastAsia="方正仿宋_GB18030" w:cs="方正仿宋_GB18030"/>
          <w:color w:val="auto"/>
          <w:sz w:val="28"/>
          <w:szCs w:val="28"/>
          <w:highlight w:val="none"/>
        </w:rPr>
        <w:t>范围</w:t>
      </w:r>
      <w:bookmarkEnd w:id="17"/>
      <w:bookmarkEnd w:id="18"/>
      <w:bookmarkEnd w:id="19"/>
    </w:p>
    <w:p w14:paraId="4DCA9573">
      <w:pPr>
        <w:keepNext w:val="0"/>
        <w:keepLines w:val="0"/>
        <w:pageBreakBefore w:val="0"/>
        <w:widowControl/>
        <w:tabs>
          <w:tab w:val="left" w:pos="2370"/>
          <w:tab w:val="center" w:pos="4320"/>
        </w:tabs>
        <w:kinsoku w:val="0"/>
        <w:wordWrap/>
        <w:overflowPunct/>
        <w:topLinePunct w:val="0"/>
        <w:autoSpaceDE w:val="0"/>
        <w:autoSpaceDN w:val="0"/>
        <w:bidi w:val="0"/>
        <w:adjustRightInd w:val="0"/>
        <w:snapToGrid w:val="0"/>
        <w:spacing w:line="360" w:lineRule="auto"/>
        <w:ind w:firstLine="420" w:firstLineChars="200"/>
        <w:contextualSpacing/>
        <w:textAlignment w:val="baseline"/>
        <w:rPr>
          <w:rFonts w:hint="default" w:ascii="方正仿宋_GBK" w:hAnsi="方正仿宋_GBK" w:eastAsia="方正仿宋_GBK" w:cs="方正仿宋_GBK"/>
          <w:snapToGrid w:val="0"/>
          <w:color w:val="auto"/>
          <w:kern w:val="0"/>
          <w:sz w:val="21"/>
          <w:szCs w:val="21"/>
          <w:highlight w:val="none"/>
          <w:u w:val="single"/>
          <w:lang w:val="en-US" w:eastAsia="zh-CN"/>
        </w:rPr>
      </w:pPr>
      <w:bookmarkStart w:id="20" w:name="_Hlk536432704"/>
      <w:bookmarkStart w:id="21" w:name="_Toc628"/>
      <w:bookmarkStart w:id="22" w:name="_Toc492300548"/>
      <w:r>
        <w:rPr>
          <w:rFonts w:hint="eastAsia" w:ascii="方正仿宋_GBK" w:hAnsi="方正仿宋_GBK" w:eastAsia="方正仿宋_GBK" w:cs="方正仿宋_GBK"/>
          <w:color w:val="auto"/>
          <w:sz w:val="21"/>
          <w:szCs w:val="21"/>
          <w:highlight w:val="none"/>
        </w:rPr>
        <w:t>2.</w:t>
      </w:r>
      <w:r>
        <w:rPr>
          <w:rFonts w:hint="eastAsia" w:ascii="方正仿宋_GBK" w:hAnsi="方正仿宋_GBK" w:eastAsia="方正仿宋_GBK" w:cs="方正仿宋_GBK"/>
          <w:color w:val="auto"/>
          <w:sz w:val="21"/>
          <w:szCs w:val="21"/>
          <w:highlight w:val="none"/>
          <w:lang w:val="en-US" w:eastAsia="zh-CN"/>
        </w:rPr>
        <w:t>1</w:t>
      </w:r>
      <w:r>
        <w:rPr>
          <w:rFonts w:hint="default" w:ascii="Times New Roman" w:hAnsi="Times New Roman" w:eastAsia="方正仿宋_GBK" w:cs="Times New Roman"/>
          <w:color w:val="auto"/>
          <w:sz w:val="21"/>
          <w:szCs w:val="21"/>
          <w:highlight w:val="none"/>
        </w:rPr>
        <w:t xml:space="preserve"> </w:t>
      </w:r>
      <w:r>
        <w:rPr>
          <w:rFonts w:hint="default" w:ascii="Times New Roman" w:hAnsi="Times New Roman" w:eastAsia="方正仿宋_GBK" w:cs="Times New Roman"/>
          <w:color w:val="auto"/>
          <w:sz w:val="21"/>
          <w:szCs w:val="21"/>
          <w:highlight w:val="none"/>
          <w:lang w:val="en-US" w:eastAsia="zh-CN"/>
        </w:rPr>
        <w:t>比选</w:t>
      </w:r>
      <w:r>
        <w:rPr>
          <w:rFonts w:hint="default" w:ascii="Times New Roman" w:hAnsi="Times New Roman" w:eastAsia="方正仿宋_GBK" w:cs="Times New Roman"/>
          <w:color w:val="auto"/>
          <w:sz w:val="21"/>
          <w:szCs w:val="21"/>
          <w:highlight w:val="none"/>
        </w:rPr>
        <w:t>内容和范围</w:t>
      </w:r>
      <w:r>
        <w:rPr>
          <w:rFonts w:hint="default" w:ascii="Times New Roman" w:hAnsi="Times New Roman" w:eastAsia="方正仿宋_GBK" w:cs="Times New Roman"/>
          <w:color w:val="auto"/>
          <w:sz w:val="21"/>
          <w:szCs w:val="21"/>
          <w:highlight w:val="none"/>
          <w:lang w:eastAsia="zh-CN"/>
        </w:rPr>
        <w:t>：</w:t>
      </w:r>
      <w:r>
        <w:rPr>
          <w:rFonts w:hint="eastAsia" w:ascii="方正仿宋_GBK" w:hAnsi="方正仿宋_GBK" w:eastAsia="方正仿宋_GBK" w:cs="方正仿宋_GBK"/>
          <w:snapToGrid w:val="0"/>
          <w:color w:val="auto"/>
          <w:kern w:val="0"/>
          <w:sz w:val="21"/>
          <w:szCs w:val="21"/>
          <w:highlight w:val="none"/>
          <w:u w:val="single"/>
          <w:lang w:val="en-US" w:eastAsia="zh-CN"/>
        </w:rPr>
        <w:t>设备共计40台：含便携式DO仪4台、泵吸式气体检测仪5台、管道内窥镜1台，超声波明渠流量计10台、罗茨风机4台、气动隔膜泵2台、</w:t>
      </w:r>
      <w:r>
        <w:rPr>
          <w:rFonts w:hint="default" w:ascii="方正仿宋_GBK" w:hAnsi="方正仿宋_GBK" w:eastAsia="方正仿宋_GBK" w:cs="方正仿宋_GBK"/>
          <w:snapToGrid w:val="0"/>
          <w:color w:val="auto"/>
          <w:kern w:val="0"/>
          <w:sz w:val="21"/>
          <w:szCs w:val="21"/>
          <w:highlight w:val="none"/>
          <w:u w:val="single"/>
          <w:lang w:val="en-US" w:eastAsia="zh-CN"/>
        </w:rPr>
        <w:t>6</w:t>
      </w:r>
      <w:r>
        <w:rPr>
          <w:rFonts w:hint="eastAsia" w:ascii="方正仿宋_GBK" w:hAnsi="方正仿宋_GBK" w:eastAsia="方正仿宋_GBK" w:cs="方正仿宋_GBK"/>
          <w:snapToGrid w:val="0"/>
          <w:color w:val="auto"/>
          <w:kern w:val="0"/>
          <w:sz w:val="21"/>
          <w:szCs w:val="21"/>
          <w:highlight w:val="none"/>
          <w:u w:val="single"/>
          <w:lang w:val="en-US" w:eastAsia="zh-CN"/>
        </w:rPr>
        <w:t xml:space="preserve">台立式桨叶搅拌机、1台移动离心式潜污泵、3台潜水推流器、2台单级离心泵（配套1个控制柜）和2台螺杆泵。（具体型号见竞选人须知） </w:t>
      </w:r>
    </w:p>
    <w:p w14:paraId="1CD50B7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sz w:val="21"/>
          <w:szCs w:val="21"/>
          <w:highlight w:val="none"/>
          <w:u w:val="single"/>
        </w:rPr>
      </w:pPr>
      <w:r>
        <w:rPr>
          <w:rFonts w:hint="eastAsia" w:ascii="方正仿宋_GBK" w:hAnsi="方正仿宋_GBK" w:eastAsia="方正仿宋_GBK" w:cs="方正仿宋_GBK"/>
          <w:snapToGrid w:val="0"/>
          <w:color w:val="auto"/>
          <w:kern w:val="0"/>
          <w:sz w:val="21"/>
          <w:szCs w:val="21"/>
          <w:highlight w:val="none"/>
        </w:rPr>
        <w:t>2.</w:t>
      </w:r>
      <w:r>
        <w:rPr>
          <w:rFonts w:hint="eastAsia" w:ascii="方正仿宋_GBK" w:hAnsi="方正仿宋_GBK" w:eastAsia="方正仿宋_GBK" w:cs="方正仿宋_GBK"/>
          <w:snapToGrid w:val="0"/>
          <w:color w:val="auto"/>
          <w:kern w:val="0"/>
          <w:sz w:val="21"/>
          <w:szCs w:val="21"/>
          <w:highlight w:val="none"/>
          <w:lang w:val="en-US" w:eastAsia="zh-CN"/>
        </w:rPr>
        <w:t>2</w:t>
      </w:r>
      <w:r>
        <w:rPr>
          <w:rFonts w:hint="eastAsia" w:ascii="方正仿宋_GBK" w:hAnsi="方正仿宋_GBK" w:eastAsia="方正仿宋_GBK" w:cs="方正仿宋_GBK"/>
          <w:snapToGrid w:val="0"/>
          <w:color w:val="auto"/>
          <w:kern w:val="0"/>
          <w:sz w:val="21"/>
          <w:szCs w:val="21"/>
          <w:highlight w:val="none"/>
        </w:rPr>
        <w:t xml:space="preserve"> </w:t>
      </w:r>
      <w:r>
        <w:rPr>
          <w:rFonts w:hint="eastAsia" w:ascii="方正仿宋_GBK" w:hAnsi="方正仿宋_GBK" w:eastAsia="方正仿宋_GBK" w:cs="方正仿宋_GBK"/>
          <w:snapToGrid w:val="0"/>
          <w:color w:val="auto"/>
          <w:kern w:val="0"/>
          <w:sz w:val="21"/>
          <w:szCs w:val="21"/>
          <w:highlight w:val="none"/>
          <w:lang w:val="en-US" w:eastAsia="zh-CN"/>
        </w:rPr>
        <w:t>交货</w:t>
      </w:r>
      <w:r>
        <w:rPr>
          <w:rFonts w:hint="eastAsia" w:ascii="方正仿宋_GBK" w:hAnsi="方正仿宋_GBK" w:eastAsia="方正仿宋_GBK" w:cs="方正仿宋_GBK"/>
          <w:snapToGrid w:val="0"/>
          <w:color w:val="auto"/>
          <w:kern w:val="0"/>
          <w:sz w:val="21"/>
          <w:szCs w:val="21"/>
          <w:highlight w:val="none"/>
          <w:lang w:eastAsia="zh-CN"/>
        </w:rPr>
        <w:t>时间：</w:t>
      </w:r>
      <w:r>
        <w:rPr>
          <w:rFonts w:hint="eastAsia" w:ascii="方正仿宋_GBK" w:hAnsi="方正仿宋_GBK" w:eastAsia="方正仿宋_GBK" w:cs="方正仿宋_GBK"/>
          <w:color w:val="auto"/>
          <w:sz w:val="21"/>
          <w:szCs w:val="21"/>
          <w:highlight w:val="none"/>
          <w:u w:val="single"/>
          <w:lang w:val="en-US" w:eastAsia="zh-CN"/>
        </w:rPr>
        <w:t xml:space="preserve">合同正式签订后15日内发货，竞选人在发货前电话通知比选人。                                                                           </w:t>
      </w:r>
      <w:r>
        <w:rPr>
          <w:rFonts w:hint="eastAsia" w:ascii="方正仿宋_GBK" w:hAnsi="方正仿宋_GBK" w:eastAsia="方正仿宋_GBK" w:cs="方正仿宋_GBK"/>
          <w:color w:val="auto"/>
          <w:sz w:val="21"/>
          <w:szCs w:val="21"/>
          <w:highlight w:val="none"/>
          <w:u w:val="single"/>
        </w:rPr>
        <w:t xml:space="preserve">   </w:t>
      </w:r>
    </w:p>
    <w:p w14:paraId="39EED68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sz w:val="21"/>
          <w:szCs w:val="21"/>
          <w:highlight w:val="none"/>
          <w:u w:val="single"/>
        </w:rPr>
      </w:pPr>
      <w:r>
        <w:rPr>
          <w:rFonts w:hint="eastAsia" w:ascii="方正仿宋_GBK" w:hAnsi="方正仿宋_GBK" w:eastAsia="方正仿宋_GBK" w:cs="方正仿宋_GBK"/>
          <w:color w:val="auto"/>
          <w:sz w:val="21"/>
          <w:szCs w:val="21"/>
          <w:highlight w:val="none"/>
        </w:rPr>
        <w:t>2.</w:t>
      </w:r>
      <w:r>
        <w:rPr>
          <w:rFonts w:hint="eastAsia" w:ascii="方正仿宋_GBK" w:hAnsi="方正仿宋_GBK" w:eastAsia="方正仿宋_GBK" w:cs="方正仿宋_GBK"/>
          <w:color w:val="auto"/>
          <w:sz w:val="21"/>
          <w:szCs w:val="21"/>
          <w:highlight w:val="none"/>
          <w:lang w:val="en-US" w:eastAsia="zh-CN"/>
        </w:rPr>
        <w:t>3</w:t>
      </w:r>
      <w:r>
        <w:rPr>
          <w:rFonts w:hint="eastAsia" w:ascii="方正仿宋_GBK" w:hAnsi="方正仿宋_GBK" w:eastAsia="方正仿宋_GBK" w:cs="方正仿宋_GBK"/>
          <w:color w:val="auto"/>
          <w:sz w:val="21"/>
          <w:szCs w:val="21"/>
          <w:highlight w:val="none"/>
        </w:rPr>
        <w:t xml:space="preserve"> </w:t>
      </w:r>
      <w:r>
        <w:rPr>
          <w:rFonts w:hint="eastAsia" w:ascii="方正仿宋_GBK" w:hAnsi="方正仿宋_GBK" w:eastAsia="方正仿宋_GBK" w:cs="方正仿宋_GBK"/>
          <w:color w:val="auto"/>
          <w:sz w:val="21"/>
          <w:szCs w:val="21"/>
          <w:highlight w:val="none"/>
          <w:lang w:val="en-US" w:eastAsia="zh-CN"/>
        </w:rPr>
        <w:t>交货</w:t>
      </w:r>
      <w:r>
        <w:rPr>
          <w:rFonts w:hint="eastAsia" w:ascii="方正仿宋_GBK" w:hAnsi="方正仿宋_GBK" w:eastAsia="方正仿宋_GBK" w:cs="方正仿宋_GBK"/>
          <w:color w:val="auto"/>
          <w:sz w:val="21"/>
          <w:szCs w:val="21"/>
          <w:highlight w:val="none"/>
          <w:lang w:eastAsia="zh-CN"/>
        </w:rPr>
        <w:t>地点：</w:t>
      </w:r>
      <w:r>
        <w:rPr>
          <w:rFonts w:hint="eastAsia" w:ascii="方正仿宋_GBK" w:hAnsi="方正仿宋_GBK" w:eastAsia="方正仿宋_GBK" w:cs="方正仿宋_GBK"/>
          <w:color w:val="auto"/>
          <w:sz w:val="21"/>
          <w:szCs w:val="21"/>
          <w:highlight w:val="none"/>
          <w:u w:val="single"/>
          <w:lang w:eastAsia="zh-CN"/>
        </w:rPr>
        <w:t>黔江区城东街道新华大道东段168号1509、彭水县高谷镇污水处理厂、</w:t>
      </w:r>
      <w:r>
        <w:rPr>
          <w:rFonts w:hint="eastAsia" w:ascii="方正仿宋_GBK" w:hAnsi="方正仿宋_GBK" w:eastAsia="方正仿宋_GBK" w:cs="方正仿宋_GBK"/>
          <w:snapToGrid w:val="0"/>
          <w:color w:val="auto"/>
          <w:kern w:val="0"/>
          <w:sz w:val="21"/>
          <w:szCs w:val="21"/>
          <w:highlight w:val="none"/>
          <w:u w:val="single"/>
          <w:lang w:val="en-US" w:eastAsia="zh-CN"/>
        </w:rPr>
        <w:t>石柱县石柱县职教中心与酉阳龙潭镇落地洞龙潭污水处理厂。（</w:t>
      </w:r>
      <w:r>
        <w:rPr>
          <w:rFonts w:hint="eastAsia" w:ascii="方正仿宋_GBK" w:hAnsi="方正仿宋_GBK" w:eastAsia="方正仿宋_GBK" w:cs="方正仿宋_GBK"/>
          <w:color w:val="auto"/>
          <w:sz w:val="21"/>
          <w:szCs w:val="21"/>
          <w:highlight w:val="none"/>
          <w:u w:val="single"/>
          <w:lang w:eastAsia="zh-CN"/>
        </w:rPr>
        <w:t>详见</w:t>
      </w:r>
      <w:r>
        <w:rPr>
          <w:rFonts w:hint="eastAsia" w:ascii="方正仿宋_GBK" w:hAnsi="方正仿宋_GBK" w:eastAsia="方正仿宋_GBK" w:cs="方正仿宋_GBK"/>
          <w:color w:val="auto"/>
          <w:sz w:val="21"/>
          <w:szCs w:val="21"/>
          <w:highlight w:val="none"/>
          <w:u w:val="single"/>
          <w:lang w:val="en-US" w:eastAsia="zh-CN"/>
        </w:rPr>
        <w:t>竞选人须知前附表1.3.1比选范围中的具体项目地点</w:t>
      </w:r>
      <w:r>
        <w:rPr>
          <w:rFonts w:hint="eastAsia" w:ascii="方正仿宋_GBK" w:hAnsi="方正仿宋_GBK" w:eastAsia="方正仿宋_GBK" w:cs="方正仿宋_GBK"/>
          <w:color w:val="auto"/>
          <w:sz w:val="21"/>
          <w:szCs w:val="21"/>
          <w:highlight w:val="none"/>
          <w:u w:val="single"/>
          <w:lang w:eastAsia="zh-CN"/>
        </w:rPr>
        <w:t>）</w:t>
      </w:r>
      <w:r>
        <w:rPr>
          <w:rFonts w:hint="eastAsia" w:ascii="方正仿宋_GBK" w:hAnsi="方正仿宋_GBK" w:eastAsia="方正仿宋_GBK" w:cs="方正仿宋_GBK"/>
          <w:snapToGrid w:val="0"/>
          <w:color w:val="auto"/>
          <w:kern w:val="0"/>
          <w:sz w:val="21"/>
          <w:szCs w:val="21"/>
          <w:highlight w:val="none"/>
          <w:u w:val="single"/>
          <w:lang w:eastAsia="zh-CN"/>
        </w:rPr>
        <w:t>。</w:t>
      </w:r>
      <w:r>
        <w:rPr>
          <w:rFonts w:hint="eastAsia" w:ascii="方正仿宋_GBK" w:hAnsi="方正仿宋_GBK" w:eastAsia="方正仿宋_GBK" w:cs="方正仿宋_GBK"/>
          <w:snapToGrid w:val="0"/>
          <w:color w:val="auto"/>
          <w:kern w:val="0"/>
          <w:sz w:val="21"/>
          <w:szCs w:val="21"/>
          <w:highlight w:val="none"/>
          <w:u w:val="single"/>
          <w:lang w:val="en-US" w:eastAsia="zh-CN"/>
        </w:rPr>
        <w:t xml:space="preserve">                                              </w:t>
      </w:r>
      <w:r>
        <w:rPr>
          <w:rFonts w:hint="eastAsia" w:ascii="方正仿宋_GBK" w:hAnsi="方正仿宋_GBK" w:eastAsia="方正仿宋_GBK" w:cs="方正仿宋_GBK"/>
          <w:snapToGrid w:val="0"/>
          <w:color w:val="auto"/>
          <w:kern w:val="0"/>
          <w:sz w:val="21"/>
          <w:szCs w:val="21"/>
          <w:highlight w:val="none"/>
          <w:u w:val="single"/>
        </w:rPr>
        <w:t xml:space="preserve">              </w:t>
      </w:r>
    </w:p>
    <w:p w14:paraId="50AD3C9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sz w:val="21"/>
          <w:szCs w:val="21"/>
          <w:highlight w:val="none"/>
          <w:u w:val="single"/>
        </w:rPr>
      </w:pPr>
      <w:r>
        <w:rPr>
          <w:rFonts w:hint="eastAsia" w:ascii="方正仿宋_GBK" w:hAnsi="方正仿宋_GBK" w:eastAsia="方正仿宋_GBK" w:cs="方正仿宋_GBK"/>
          <w:color w:val="auto"/>
          <w:sz w:val="21"/>
          <w:szCs w:val="21"/>
          <w:highlight w:val="none"/>
        </w:rPr>
        <w:t>2.</w:t>
      </w:r>
      <w:r>
        <w:rPr>
          <w:rFonts w:hint="eastAsia" w:ascii="方正仿宋_GBK" w:hAnsi="方正仿宋_GBK" w:eastAsia="方正仿宋_GBK" w:cs="方正仿宋_GBK"/>
          <w:color w:val="auto"/>
          <w:sz w:val="21"/>
          <w:szCs w:val="21"/>
          <w:highlight w:val="none"/>
          <w:lang w:val="en-US" w:eastAsia="zh-CN"/>
        </w:rPr>
        <w:t>4</w:t>
      </w:r>
      <w:r>
        <w:rPr>
          <w:rFonts w:hint="eastAsia" w:ascii="方正仿宋_GBK" w:hAnsi="方正仿宋_GBK" w:eastAsia="方正仿宋_GBK" w:cs="方正仿宋_GBK"/>
          <w:color w:val="auto"/>
          <w:sz w:val="21"/>
          <w:szCs w:val="21"/>
          <w:highlight w:val="none"/>
        </w:rPr>
        <w:t xml:space="preserve"> 标段划分</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color w:val="auto"/>
          <w:sz w:val="21"/>
          <w:szCs w:val="21"/>
          <w:highlight w:val="none"/>
          <w:u w:val="single"/>
          <w:lang w:val="en-US" w:eastAsia="zh-CN"/>
        </w:rPr>
        <w:t xml:space="preserve">  /</w:t>
      </w:r>
      <w:r>
        <w:rPr>
          <w:rFonts w:hint="eastAsia" w:ascii="方正仿宋_GBK" w:hAnsi="方正仿宋_GBK" w:eastAsia="方正仿宋_GBK" w:cs="方正仿宋_GBK"/>
          <w:i/>
          <w:color w:val="auto"/>
          <w:sz w:val="21"/>
          <w:szCs w:val="21"/>
          <w:highlight w:val="none"/>
          <w:u w:val="single"/>
          <w:lang w:val="en-US" w:eastAsia="zh-CN"/>
        </w:rPr>
        <w:t xml:space="preserve">                                                           </w:t>
      </w:r>
      <w:r>
        <w:rPr>
          <w:rFonts w:hint="eastAsia" w:ascii="方正仿宋_GBK" w:hAnsi="方正仿宋_GBK" w:eastAsia="方正仿宋_GBK" w:cs="方正仿宋_GBK"/>
          <w:color w:val="auto"/>
          <w:sz w:val="21"/>
          <w:szCs w:val="21"/>
          <w:highlight w:val="none"/>
          <w:u w:val="single"/>
        </w:rPr>
        <w:t xml:space="preserve"> </w:t>
      </w:r>
    </w:p>
    <w:p w14:paraId="15B17EE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18030" w:hAnsi="方正仿宋_GB18030" w:eastAsia="方正仿宋_GB18030" w:cs="方正仿宋_GB18030"/>
          <w:color w:val="auto"/>
          <w:szCs w:val="21"/>
          <w:highlight w:val="none"/>
          <w:u w:val="single"/>
        </w:rPr>
      </w:pPr>
      <w:r>
        <w:rPr>
          <w:rFonts w:hint="eastAsia" w:ascii="方正仿宋_GBK" w:hAnsi="方正仿宋_GBK" w:eastAsia="方正仿宋_GBK" w:cs="方正仿宋_GBK"/>
          <w:color w:val="auto"/>
          <w:sz w:val="21"/>
          <w:szCs w:val="21"/>
          <w:highlight w:val="none"/>
        </w:rPr>
        <w:t>2.</w:t>
      </w:r>
      <w:r>
        <w:rPr>
          <w:rFonts w:hint="eastAsia" w:ascii="方正仿宋_GBK" w:hAnsi="方正仿宋_GBK" w:eastAsia="方正仿宋_GBK" w:cs="方正仿宋_GBK"/>
          <w:color w:val="auto"/>
          <w:sz w:val="21"/>
          <w:szCs w:val="21"/>
          <w:highlight w:val="none"/>
          <w:lang w:val="en-US" w:eastAsia="zh-CN"/>
        </w:rPr>
        <w:t>5</w:t>
      </w:r>
      <w:r>
        <w:rPr>
          <w:rFonts w:hint="eastAsia" w:ascii="方正仿宋_GBK" w:hAnsi="方正仿宋_GBK" w:eastAsia="方正仿宋_GBK" w:cs="方正仿宋_GBK"/>
          <w:color w:val="auto"/>
          <w:sz w:val="21"/>
          <w:szCs w:val="21"/>
          <w:highlight w:val="none"/>
        </w:rPr>
        <w:t xml:space="preserve"> 其他</w:t>
      </w:r>
      <w:r>
        <w:rPr>
          <w:rFonts w:hint="eastAsia" w:ascii="方正仿宋_GBK" w:hAnsi="方正仿宋_GBK" w:eastAsia="方正仿宋_GBK" w:cs="方正仿宋_GBK"/>
          <w:color w:val="auto"/>
          <w:sz w:val="21"/>
          <w:szCs w:val="21"/>
          <w:highlight w:val="none"/>
          <w:lang w:eastAsia="zh-CN"/>
        </w:rPr>
        <w:t>：</w:t>
      </w:r>
      <w:r>
        <w:rPr>
          <w:rFonts w:hint="eastAsia" w:ascii="方正仿宋_GBK" w:hAnsi="方正仿宋_GBK" w:eastAsia="方正仿宋_GBK" w:cs="方正仿宋_GBK"/>
          <w:snapToGrid w:val="0"/>
          <w:color w:val="auto"/>
          <w:kern w:val="0"/>
          <w:sz w:val="21"/>
          <w:szCs w:val="21"/>
          <w:highlight w:val="none"/>
          <w:u w:val="single"/>
          <w:lang w:val="en-US" w:eastAsia="zh-CN"/>
        </w:rPr>
        <w:t>因比选人生产经营发生变化需提前终止合同的情形，比选人对</w:t>
      </w:r>
      <w:r>
        <w:rPr>
          <w:rFonts w:hint="eastAsia" w:ascii="方正仿宋_GBK" w:hAnsi="方正仿宋_GBK" w:eastAsia="方正仿宋_GBK" w:cs="方正仿宋_GBK"/>
          <w:color w:val="auto"/>
          <w:sz w:val="21"/>
          <w:szCs w:val="21"/>
          <w:highlight w:val="none"/>
          <w:u w:val="single"/>
          <w:lang w:eastAsia="zh-CN"/>
        </w:rPr>
        <w:t>成交竞选人</w:t>
      </w:r>
      <w:r>
        <w:rPr>
          <w:rFonts w:hint="eastAsia" w:ascii="方正仿宋_GBK" w:hAnsi="方正仿宋_GBK" w:eastAsia="方正仿宋_GBK" w:cs="方正仿宋_GBK"/>
          <w:snapToGrid w:val="0"/>
          <w:color w:val="auto"/>
          <w:kern w:val="0"/>
          <w:sz w:val="21"/>
          <w:szCs w:val="21"/>
          <w:highlight w:val="none"/>
          <w:u w:val="single"/>
          <w:lang w:val="en-US" w:eastAsia="zh-CN"/>
        </w:rPr>
        <w:t xml:space="preserve">不予任何赔（补）偿。                                                 </w:t>
      </w:r>
      <w:r>
        <w:rPr>
          <w:rFonts w:hint="eastAsia" w:ascii="方正仿宋_GB18030" w:hAnsi="方正仿宋_GB18030" w:eastAsia="方正仿宋_GB18030" w:cs="方正仿宋_GB18030"/>
          <w:snapToGrid w:val="0"/>
          <w:color w:val="auto"/>
          <w:kern w:val="0"/>
          <w:szCs w:val="21"/>
          <w:highlight w:val="none"/>
          <w:u w:val="single"/>
        </w:rPr>
        <w:t xml:space="preserve">              </w:t>
      </w:r>
    </w:p>
    <w:bookmarkEnd w:id="20"/>
    <w:p w14:paraId="0C59D0DE">
      <w:pPr>
        <w:pStyle w:val="3"/>
        <w:pageBreakBefore w:val="0"/>
        <w:widowControl/>
        <w:kinsoku w:val="0"/>
        <w:wordWrap/>
        <w:overflowPunct/>
        <w:topLinePunct w:val="0"/>
        <w:autoSpaceDE w:val="0"/>
        <w:autoSpaceDN w:val="0"/>
        <w:bidi w:val="0"/>
        <w:adjustRightInd w:val="0"/>
        <w:snapToGrid w:val="0"/>
        <w:spacing w:before="0" w:after="0" w:line="360" w:lineRule="auto"/>
        <w:textAlignment w:val="baseline"/>
        <w:rPr>
          <w:rFonts w:hint="eastAsia" w:ascii="方正仿宋_GB18030" w:hAnsi="方正仿宋_GB18030" w:eastAsia="方正仿宋_GB18030" w:cs="方正仿宋_GB18030"/>
          <w:color w:val="auto"/>
          <w:sz w:val="28"/>
          <w:szCs w:val="28"/>
          <w:highlight w:val="none"/>
        </w:rPr>
      </w:pPr>
      <w:bookmarkStart w:id="23" w:name="_Toc14393"/>
      <w:r>
        <w:rPr>
          <w:rFonts w:hint="eastAsia" w:ascii="方正仿宋_GB18030" w:hAnsi="方正仿宋_GB18030" w:eastAsia="方正仿宋_GB18030" w:cs="方正仿宋_GB18030"/>
          <w:color w:val="auto"/>
          <w:sz w:val="28"/>
          <w:szCs w:val="28"/>
          <w:highlight w:val="none"/>
        </w:rPr>
        <w:t xml:space="preserve">3. </w:t>
      </w:r>
      <w:r>
        <w:rPr>
          <w:rFonts w:hint="eastAsia" w:ascii="方正仿宋_GB18030" w:hAnsi="方正仿宋_GB18030" w:eastAsia="方正仿宋_GB18030" w:cs="方正仿宋_GB18030"/>
          <w:color w:val="auto"/>
          <w:sz w:val="28"/>
          <w:szCs w:val="28"/>
          <w:highlight w:val="none"/>
          <w:lang w:eastAsia="zh-CN"/>
        </w:rPr>
        <w:t>竞选人</w:t>
      </w:r>
      <w:r>
        <w:rPr>
          <w:rFonts w:hint="eastAsia" w:ascii="方正仿宋_GB18030" w:hAnsi="方正仿宋_GB18030" w:eastAsia="方正仿宋_GB18030" w:cs="方正仿宋_GB18030"/>
          <w:color w:val="auto"/>
          <w:sz w:val="28"/>
          <w:szCs w:val="28"/>
          <w:highlight w:val="none"/>
        </w:rPr>
        <w:t>资格要求</w:t>
      </w:r>
      <w:bookmarkEnd w:id="21"/>
      <w:bookmarkEnd w:id="22"/>
      <w:bookmarkEnd w:id="23"/>
    </w:p>
    <w:p w14:paraId="0589768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rPr>
      </w:pPr>
      <w:r>
        <w:rPr>
          <w:rFonts w:hint="eastAsia" w:ascii="方正仿宋_GBK" w:hAnsi="方正仿宋_GBK" w:eastAsia="方正仿宋_GBK" w:cs="方正仿宋_GBK"/>
          <w:color w:val="auto"/>
          <w:highlight w:val="none"/>
        </w:rPr>
        <w:t>3.1 本次</w:t>
      </w:r>
      <w:r>
        <w:rPr>
          <w:rFonts w:hint="eastAsia" w:ascii="方正仿宋_GBK" w:hAnsi="方正仿宋_GBK" w:eastAsia="方正仿宋_GBK" w:cs="方正仿宋_GBK"/>
          <w:color w:val="auto"/>
          <w:highlight w:val="none"/>
          <w:lang w:eastAsia="zh-CN"/>
        </w:rPr>
        <w:t>比选</w:t>
      </w:r>
      <w:r>
        <w:rPr>
          <w:rFonts w:hint="eastAsia" w:ascii="方正仿宋_GBK" w:hAnsi="方正仿宋_GBK" w:eastAsia="方正仿宋_GBK" w:cs="方正仿宋_GBK"/>
          <w:color w:val="auto"/>
          <w:highlight w:val="none"/>
        </w:rPr>
        <w:t>要求</w:t>
      </w:r>
      <w:r>
        <w:rPr>
          <w:rFonts w:hint="eastAsia" w:ascii="方正仿宋_GBK" w:hAnsi="方正仿宋_GBK" w:eastAsia="方正仿宋_GBK" w:cs="方正仿宋_GBK"/>
          <w:color w:val="auto"/>
          <w:highlight w:val="none"/>
          <w:lang w:eastAsia="zh-CN"/>
        </w:rPr>
        <w:t>竞选人</w:t>
      </w:r>
      <w:r>
        <w:rPr>
          <w:rFonts w:hint="eastAsia" w:ascii="方正仿宋_GBK" w:hAnsi="方正仿宋_GBK" w:eastAsia="方正仿宋_GBK" w:cs="方正仿宋_GBK"/>
          <w:color w:val="auto"/>
          <w:highlight w:val="none"/>
        </w:rPr>
        <w:t>须具备以下条件：</w:t>
      </w:r>
    </w:p>
    <w:p w14:paraId="4F010C1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lang w:eastAsia="zh-CN"/>
        </w:rPr>
        <w:t xml:space="preserve">3.1.1 </w:t>
      </w:r>
      <w:r>
        <w:rPr>
          <w:rFonts w:hint="eastAsia" w:ascii="方正仿宋_GBK" w:hAnsi="方正仿宋_GBK" w:eastAsia="方正仿宋_GBK" w:cs="方正仿宋_GBK"/>
          <w:color w:val="auto"/>
          <w:highlight w:val="none"/>
        </w:rPr>
        <w:t>必须是按照国家法律法规设立的，在中国注册的，具有独立法人资格的企业</w:t>
      </w:r>
      <w:r>
        <w:rPr>
          <w:rFonts w:hint="eastAsia" w:ascii="方正仿宋_GBK" w:hAnsi="方正仿宋_GBK" w:eastAsia="方正仿宋_GBK" w:cs="方正仿宋_GBK"/>
          <w:color w:val="auto"/>
          <w:highlight w:val="none"/>
          <w:lang w:eastAsia="zh-CN"/>
        </w:rPr>
        <w:t>；</w:t>
      </w:r>
    </w:p>
    <w:p w14:paraId="170C3A9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lang w:eastAsia="zh-CN"/>
        </w:rPr>
        <w:t>3.1.2 具有独立承担民事责任的能力；</w:t>
      </w:r>
    </w:p>
    <w:p w14:paraId="77DD58F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3.1.3 具有良好的商业信誉和健全的财务会计制度；</w:t>
      </w:r>
    </w:p>
    <w:p w14:paraId="432575E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3.1.4 具有履行合同所必须的各项资质认证及专业技术能力；</w:t>
      </w:r>
    </w:p>
    <w:p w14:paraId="4E45498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3.1.5 具有依法缴纳税收和社会保障资金的良好记录；</w:t>
      </w:r>
    </w:p>
    <w:p w14:paraId="44BD5FD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3.1.6 参加本次比选活动前三年内，在经营活动中没有重大违法记录；</w:t>
      </w:r>
    </w:p>
    <w:p w14:paraId="3803F24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3.1.7 法律、行政法规规定的其他条件。</w:t>
      </w:r>
    </w:p>
    <w:p w14:paraId="138531A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lang w:eastAsia="zh-CN"/>
        </w:rPr>
        <w:t>3.2 ☑本次比选不接受联合体参与。</w:t>
      </w:r>
    </w:p>
    <w:p w14:paraId="4BD6BFE3">
      <w:pPr>
        <w:keepNext w:val="0"/>
        <w:keepLines w:val="0"/>
        <w:pageBreakBefore w:val="0"/>
        <w:widowControl/>
        <w:kinsoku w:val="0"/>
        <w:wordWrap/>
        <w:overflowPunct/>
        <w:topLinePunct w:val="0"/>
        <w:autoSpaceDE w:val="0"/>
        <w:autoSpaceDN w:val="0"/>
        <w:bidi w:val="0"/>
        <w:adjustRightInd w:val="0"/>
        <w:snapToGrid w:val="0"/>
        <w:spacing w:line="360" w:lineRule="auto"/>
        <w:ind w:firstLine="840" w:firstLineChars="400"/>
        <w:textAlignment w:val="baseline"/>
        <w:rPr>
          <w:rFonts w:hint="eastAsia" w:ascii="方正仿宋_GB18030" w:hAnsi="方正仿宋_GB18030" w:eastAsia="方正仿宋_GB18030" w:cs="方正仿宋_GB18030"/>
          <w:color w:val="auto"/>
          <w:highlight w:val="none"/>
          <w:lang w:eastAsia="zh-CN"/>
        </w:rPr>
      </w:pPr>
      <w:r>
        <w:rPr>
          <w:rFonts w:hint="eastAsia" w:ascii="方正仿宋_GBK" w:hAnsi="方正仿宋_GBK" w:eastAsia="方正仿宋_GBK" w:cs="方正仿宋_GBK"/>
          <w:color w:val="auto"/>
          <w:highlight w:val="none"/>
          <w:lang w:eastAsia="zh-CN"/>
        </w:rPr>
        <w:t xml:space="preserve">□本次比选接受联合体参与。联合体竞选的，应满足下列要求：  </w:t>
      </w:r>
      <w:r>
        <w:rPr>
          <w:rFonts w:hint="eastAsia" w:ascii="方正仿宋_GB18030" w:hAnsi="方正仿宋_GB18030" w:eastAsia="方正仿宋_GB18030" w:cs="方正仿宋_GB18030"/>
          <w:color w:val="auto"/>
          <w:highlight w:val="none"/>
          <w:lang w:eastAsia="zh-CN"/>
        </w:rPr>
        <w:t xml:space="preserve">             </w:t>
      </w:r>
    </w:p>
    <w:p w14:paraId="1512DC01">
      <w:pPr>
        <w:pStyle w:val="3"/>
        <w:spacing w:before="0" w:after="0" w:line="360" w:lineRule="auto"/>
        <w:rPr>
          <w:rFonts w:hint="eastAsia" w:ascii="方正仿宋_GB18030" w:hAnsi="方正仿宋_GB18030" w:eastAsia="方正仿宋_GB18030" w:cs="方正仿宋_GB18030"/>
          <w:color w:val="auto"/>
          <w:sz w:val="28"/>
          <w:szCs w:val="28"/>
          <w:highlight w:val="none"/>
        </w:rPr>
      </w:pPr>
      <w:bookmarkStart w:id="24" w:name="_Toc32727"/>
      <w:bookmarkStart w:id="25" w:name="_Toc492300549"/>
      <w:bookmarkStart w:id="26" w:name="_Toc19369"/>
      <w:r>
        <w:rPr>
          <w:rFonts w:hint="eastAsia" w:ascii="方正仿宋_GB18030" w:hAnsi="方正仿宋_GB18030" w:eastAsia="方正仿宋_GB18030" w:cs="方正仿宋_GB18030"/>
          <w:color w:val="auto"/>
          <w:sz w:val="28"/>
          <w:szCs w:val="28"/>
          <w:highlight w:val="none"/>
        </w:rPr>
        <w:t xml:space="preserve">4. </w:t>
      </w:r>
      <w:r>
        <w:rPr>
          <w:rFonts w:hint="eastAsia" w:ascii="方正仿宋_GB18030" w:hAnsi="方正仿宋_GB18030" w:eastAsia="方正仿宋_GB18030" w:cs="方正仿宋_GB18030"/>
          <w:color w:val="auto"/>
          <w:sz w:val="28"/>
          <w:szCs w:val="28"/>
          <w:highlight w:val="none"/>
          <w:lang w:eastAsia="zh-CN"/>
        </w:rPr>
        <w:t>比选</w:t>
      </w:r>
      <w:r>
        <w:rPr>
          <w:rFonts w:hint="eastAsia" w:ascii="方正仿宋_GB18030" w:hAnsi="方正仿宋_GB18030" w:eastAsia="方正仿宋_GB18030" w:cs="方正仿宋_GB18030"/>
          <w:color w:val="auto"/>
          <w:sz w:val="28"/>
          <w:szCs w:val="28"/>
          <w:highlight w:val="none"/>
        </w:rPr>
        <w:t>文件的获取</w:t>
      </w:r>
      <w:bookmarkEnd w:id="24"/>
      <w:bookmarkEnd w:id="25"/>
      <w:bookmarkEnd w:id="26"/>
    </w:p>
    <w:p w14:paraId="54A8CD52">
      <w:pPr>
        <w:spacing w:line="360" w:lineRule="auto"/>
        <w:ind w:firstLine="420" w:firstLineChars="200"/>
        <w:rPr>
          <w:rFonts w:hint="eastAsia" w:ascii="方正仿宋_GBK" w:hAnsi="方正仿宋_GBK" w:eastAsia="方正仿宋_GBK" w:cs="方正仿宋_GBK"/>
          <w:color w:val="auto"/>
          <w:highlight w:val="none"/>
          <w:lang w:val="en-US" w:eastAsia="zh-CN"/>
        </w:rPr>
      </w:pPr>
      <w:bookmarkStart w:id="27" w:name="_Toc492300550"/>
      <w:bookmarkStart w:id="28" w:name="_Toc32385"/>
      <w:bookmarkStart w:id="29" w:name="_Toc15122"/>
      <w:r>
        <w:rPr>
          <w:rFonts w:hint="eastAsia" w:ascii="方正仿宋_GBK" w:hAnsi="方正仿宋_GBK" w:eastAsia="方正仿宋_GBK" w:cs="方正仿宋_GBK"/>
          <w:color w:val="auto"/>
          <w:highlight w:val="none"/>
          <w:lang w:val="en-US" w:eastAsia="zh-CN"/>
        </w:rPr>
        <w:t>比选人将比选文件、电子图纸、澄清、修改、补充通知、最高限价通知等全部资料发布在重庆环保投资集团有限公司官网(http://www.cqht.cn/)。参与比选的竞选人需在重庆环保投资集团有限公司官网(http://www.cqht.cn/)自行下载相关的资料，因竞选人未能及时下载相关资料责任自负。</w:t>
      </w:r>
    </w:p>
    <w:p w14:paraId="439CA294">
      <w:pPr>
        <w:pStyle w:val="3"/>
        <w:spacing w:before="0" w:after="0" w:line="360" w:lineRule="auto"/>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 xml:space="preserve">5. </w:t>
      </w:r>
      <w:r>
        <w:rPr>
          <w:rFonts w:hint="eastAsia" w:ascii="方正仿宋_GB18030" w:hAnsi="方正仿宋_GB18030" w:eastAsia="方正仿宋_GB18030" w:cs="方正仿宋_GB18030"/>
          <w:color w:val="auto"/>
          <w:sz w:val="28"/>
          <w:szCs w:val="28"/>
          <w:highlight w:val="none"/>
          <w:lang w:eastAsia="zh-CN"/>
        </w:rPr>
        <w:t>竞选文件</w:t>
      </w:r>
      <w:r>
        <w:rPr>
          <w:rFonts w:hint="eastAsia" w:ascii="方正仿宋_GB18030" w:hAnsi="方正仿宋_GB18030" w:eastAsia="方正仿宋_GB18030" w:cs="方正仿宋_GB18030"/>
          <w:color w:val="auto"/>
          <w:sz w:val="28"/>
          <w:szCs w:val="28"/>
          <w:highlight w:val="none"/>
        </w:rPr>
        <w:t>的递交</w:t>
      </w:r>
      <w:bookmarkEnd w:id="27"/>
      <w:bookmarkEnd w:id="28"/>
      <w:bookmarkEnd w:id="29"/>
    </w:p>
    <w:p w14:paraId="1E3AAB94">
      <w:pPr>
        <w:spacing w:line="360" w:lineRule="auto"/>
        <w:ind w:firstLine="420" w:firstLineChars="200"/>
        <w:rPr>
          <w:rFonts w:hint="eastAsia" w:ascii="方正仿宋_GB18030" w:hAnsi="方正仿宋_GB18030" w:eastAsia="方正仿宋_GB18030" w:cs="方正仿宋_GB18030"/>
          <w:color w:val="auto"/>
          <w:highlight w:val="none"/>
          <w:lang w:val="en-US" w:eastAsia="zh-CN"/>
        </w:rPr>
      </w:pPr>
      <w:bookmarkStart w:id="30" w:name="_Toc492300551"/>
      <w:bookmarkStart w:id="31" w:name="_Toc2598"/>
      <w:bookmarkStart w:id="32" w:name="_Toc21928"/>
      <w:r>
        <w:rPr>
          <w:rFonts w:hint="default" w:ascii="Times New Roman" w:hAnsi="Times New Roman" w:eastAsia="方正仿宋_GBK" w:cs="Times New Roman"/>
          <w:color w:val="auto"/>
          <w:highlight w:val="none"/>
          <w:lang w:val="en-US" w:eastAsia="zh-CN"/>
        </w:rPr>
        <w:t>竞选文件递交截止时间为</w:t>
      </w:r>
      <w:r>
        <w:rPr>
          <w:rFonts w:hint="default" w:ascii="Times New Roman" w:hAnsi="Times New Roman" w:eastAsia="方正仿宋_GBK" w:cs="Times New Roman"/>
          <w:color w:val="auto"/>
          <w:highlight w:val="none"/>
          <w:u w:val="single"/>
          <w:lang w:val="en-US" w:eastAsia="zh-CN"/>
        </w:rPr>
        <w:t xml:space="preserve"> 2026 </w:t>
      </w:r>
      <w:r>
        <w:rPr>
          <w:rFonts w:hint="default" w:ascii="Times New Roman" w:hAnsi="Times New Roman" w:eastAsia="方正仿宋_GBK" w:cs="Times New Roman"/>
          <w:color w:val="auto"/>
          <w:highlight w:val="none"/>
          <w:lang w:val="en-US" w:eastAsia="zh-CN"/>
        </w:rPr>
        <w:t>年</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8</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月</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 xml:space="preserve"> 3</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日</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15</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时</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0</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分（北京时间），竞选文件递交时段为</w:t>
      </w:r>
      <w:r>
        <w:rPr>
          <w:rFonts w:hint="default" w:ascii="Times New Roman" w:hAnsi="Times New Roman" w:eastAsia="方正仿宋_GBK" w:cs="Times New Roman"/>
          <w:color w:val="auto"/>
          <w:highlight w:val="none"/>
          <w:u w:val="single"/>
          <w:lang w:val="en-US" w:eastAsia="zh-CN"/>
        </w:rPr>
        <w:t xml:space="preserve"> 2026 </w:t>
      </w:r>
      <w:r>
        <w:rPr>
          <w:rFonts w:hint="default" w:ascii="Times New Roman" w:hAnsi="Times New Roman" w:eastAsia="方正仿宋_GBK" w:cs="Times New Roman"/>
          <w:color w:val="auto"/>
          <w:highlight w:val="none"/>
          <w:lang w:val="en-US" w:eastAsia="zh-CN"/>
        </w:rPr>
        <w:t>年</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8</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月</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 xml:space="preserve"> 3 </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日</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14</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时</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45</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分至</w:t>
      </w:r>
      <w:r>
        <w:rPr>
          <w:rFonts w:hint="default" w:ascii="Times New Roman" w:hAnsi="Times New Roman" w:eastAsia="方正仿宋_GBK" w:cs="Times New Roman"/>
          <w:color w:val="auto"/>
          <w:highlight w:val="none"/>
          <w:u w:val="single"/>
          <w:lang w:val="en-US" w:eastAsia="zh-CN"/>
        </w:rPr>
        <w:t xml:space="preserve"> 2026 </w:t>
      </w:r>
      <w:r>
        <w:rPr>
          <w:rFonts w:hint="default" w:ascii="Times New Roman" w:hAnsi="Times New Roman" w:eastAsia="方正仿宋_GBK" w:cs="Times New Roman"/>
          <w:color w:val="auto"/>
          <w:highlight w:val="none"/>
          <w:lang w:val="en-US" w:eastAsia="zh-CN"/>
        </w:rPr>
        <w:t>年</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 xml:space="preserve"> 8</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月</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 xml:space="preserve"> 3</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日</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15</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时</w:t>
      </w:r>
      <w:r>
        <w:rPr>
          <w:rFonts w:hint="default" w:ascii="Times New Roman" w:hAnsi="Times New Roman" w:eastAsia="方正仿宋_GBK" w:cs="Times New Roman"/>
          <w:color w:val="auto"/>
          <w:highlight w:val="none"/>
          <w:u w:val="single"/>
          <w:lang w:val="en-US" w:eastAsia="zh-CN"/>
        </w:rPr>
        <w:t xml:space="preserve"> </w:t>
      </w:r>
      <w:r>
        <w:rPr>
          <w:rFonts w:hint="eastAsia" w:ascii="Times New Roman" w:hAnsi="Times New Roman" w:eastAsia="方正仿宋_GBK" w:cs="Times New Roman"/>
          <w:color w:val="auto"/>
          <w:highlight w:val="none"/>
          <w:u w:val="single"/>
          <w:lang w:val="en-US" w:eastAsia="zh-CN"/>
        </w:rPr>
        <w:t>0</w:t>
      </w:r>
      <w:r>
        <w:rPr>
          <w:rFonts w:hint="default" w:ascii="Times New Roman" w:hAnsi="Times New Roman" w:eastAsia="方正仿宋_GBK" w:cs="Times New Roman"/>
          <w:color w:val="auto"/>
          <w:highlight w:val="none"/>
          <w:u w:val="single"/>
          <w:lang w:val="en-US" w:eastAsia="zh-CN"/>
        </w:rPr>
        <w:t xml:space="preserve"> </w:t>
      </w:r>
      <w:r>
        <w:rPr>
          <w:rFonts w:hint="default" w:ascii="Times New Roman" w:hAnsi="Times New Roman" w:eastAsia="方正仿宋_GBK" w:cs="Times New Roman"/>
          <w:color w:val="auto"/>
          <w:highlight w:val="none"/>
          <w:lang w:val="en-US" w:eastAsia="zh-CN"/>
        </w:rPr>
        <w:t>分（北京时间）。竞选人应当在竞选文件递交截止时间前将竞选文件递交至</w:t>
      </w:r>
      <w:r>
        <w:rPr>
          <w:rFonts w:hint="default" w:ascii="Times New Roman" w:hAnsi="Times New Roman" w:eastAsia="方正仿宋_GBK" w:cs="Times New Roman"/>
          <w:color w:val="auto"/>
          <w:highlight w:val="none"/>
          <w:u w:val="single"/>
          <w:lang w:val="en-US" w:eastAsia="zh-CN"/>
        </w:rPr>
        <w:t>重庆市黔江区城东街道新华大道东段168号15楼会议室</w:t>
      </w:r>
      <w:r>
        <w:rPr>
          <w:rFonts w:hint="default" w:ascii="Times New Roman" w:hAnsi="Times New Roman" w:eastAsia="方正仿宋_GBK" w:cs="Times New Roman"/>
          <w:color w:val="auto"/>
          <w:highlight w:val="none"/>
          <w:u w:val="none"/>
          <w:lang w:val="en-US" w:eastAsia="zh-CN"/>
        </w:rPr>
        <w:t>，递交方式为现场递交</w:t>
      </w:r>
      <w:r>
        <w:rPr>
          <w:rFonts w:hint="eastAsia" w:ascii="方正仿宋_GB18030" w:hAnsi="方正仿宋_GB18030" w:eastAsia="方正仿宋_GB18030" w:cs="方正仿宋_GB18030"/>
          <w:color w:val="auto"/>
          <w:highlight w:val="none"/>
          <w:lang w:val="en-US" w:eastAsia="zh-CN"/>
        </w:rPr>
        <w:t>。</w:t>
      </w:r>
    </w:p>
    <w:p w14:paraId="00957AC6">
      <w:pPr>
        <w:pStyle w:val="3"/>
        <w:spacing w:before="0" w:after="0" w:line="360" w:lineRule="auto"/>
        <w:rPr>
          <w:rFonts w:hint="eastAsia" w:ascii="方正仿宋_GB18030" w:hAnsi="方正仿宋_GB18030" w:eastAsia="方正仿宋_GB18030" w:cs="方正仿宋_GB18030"/>
          <w:color w:val="auto"/>
          <w:sz w:val="28"/>
          <w:szCs w:val="28"/>
          <w:highlight w:val="none"/>
          <w:lang w:eastAsia="zh-CN"/>
        </w:rPr>
      </w:pPr>
      <w:r>
        <w:rPr>
          <w:rFonts w:hint="eastAsia" w:ascii="方正仿宋_GB18030" w:hAnsi="方正仿宋_GB18030" w:eastAsia="方正仿宋_GB18030" w:cs="方正仿宋_GB18030"/>
          <w:color w:val="auto"/>
          <w:sz w:val="28"/>
          <w:szCs w:val="28"/>
          <w:highlight w:val="none"/>
        </w:rPr>
        <w:t xml:space="preserve">6. </w:t>
      </w:r>
      <w:bookmarkEnd w:id="30"/>
      <w:bookmarkEnd w:id="31"/>
      <w:bookmarkEnd w:id="32"/>
      <w:r>
        <w:rPr>
          <w:rFonts w:hint="eastAsia" w:ascii="方正仿宋_GB18030" w:hAnsi="方正仿宋_GB18030" w:eastAsia="方正仿宋_GB18030" w:cs="方正仿宋_GB18030"/>
          <w:color w:val="auto"/>
          <w:sz w:val="28"/>
          <w:szCs w:val="28"/>
          <w:highlight w:val="none"/>
          <w:lang w:eastAsia="zh-CN"/>
        </w:rPr>
        <w:t>成交确认</w:t>
      </w:r>
      <w:bookmarkStart w:id="259" w:name="_GoBack"/>
      <w:bookmarkEnd w:id="259"/>
    </w:p>
    <w:p w14:paraId="79E0C505">
      <w:pPr>
        <w:spacing w:line="360" w:lineRule="auto"/>
        <w:ind w:firstLine="420" w:firstLineChars="200"/>
        <w:rPr>
          <w:rFonts w:hint="eastAsia" w:ascii="方正仿宋_GB18030" w:hAnsi="方正仿宋_GB18030" w:eastAsia="方正仿宋_GB18030" w:cs="方正仿宋_GB18030"/>
          <w:color w:val="auto"/>
          <w:highlight w:val="none"/>
          <w:lang w:val="en-US" w:eastAsia="zh-CN"/>
        </w:rPr>
      </w:pPr>
      <w:bookmarkStart w:id="33" w:name="_Toc30653"/>
      <w:bookmarkStart w:id="34" w:name="_Toc492300552"/>
      <w:bookmarkStart w:id="35" w:name="_Toc11678"/>
      <w:r>
        <w:rPr>
          <w:rFonts w:hint="eastAsia" w:ascii="方正仿宋_GBK" w:hAnsi="方正仿宋_GBK" w:eastAsia="方正仿宋_GBK" w:cs="方正仿宋_GBK"/>
          <w:color w:val="auto"/>
          <w:highlight w:val="none"/>
          <w:lang w:val="en-US" w:eastAsia="zh-CN"/>
        </w:rPr>
        <w:t>本次成交竞选人以成交通知书确认</w:t>
      </w:r>
      <w:r>
        <w:rPr>
          <w:rFonts w:hint="eastAsia" w:ascii="方正仿宋_GB18030" w:hAnsi="方正仿宋_GB18030" w:eastAsia="方正仿宋_GB18030" w:cs="方正仿宋_GB18030"/>
          <w:color w:val="auto"/>
          <w:highlight w:val="none"/>
          <w:lang w:val="en-US" w:eastAsia="zh-CN"/>
        </w:rPr>
        <w:t>。</w:t>
      </w:r>
    </w:p>
    <w:p w14:paraId="39A8FB89">
      <w:pPr>
        <w:pStyle w:val="3"/>
        <w:spacing w:before="0" w:after="0" w:line="360" w:lineRule="auto"/>
        <w:rPr>
          <w:rFonts w:hint="eastAsia" w:ascii="方正仿宋_GB18030" w:hAnsi="方正仿宋_GB18030" w:eastAsia="方正仿宋_GB18030" w:cs="方正仿宋_GB18030"/>
          <w:color w:val="auto"/>
          <w:sz w:val="28"/>
          <w:szCs w:val="28"/>
          <w:highlight w:val="none"/>
        </w:rPr>
      </w:pPr>
      <w:r>
        <w:rPr>
          <w:rFonts w:hint="eastAsia" w:ascii="方正仿宋_GB18030" w:hAnsi="方正仿宋_GB18030" w:eastAsia="方正仿宋_GB18030" w:cs="方正仿宋_GB18030"/>
          <w:color w:val="auto"/>
          <w:sz w:val="28"/>
          <w:szCs w:val="28"/>
          <w:highlight w:val="none"/>
        </w:rPr>
        <w:t>7. 联系方式</w:t>
      </w:r>
      <w:bookmarkEnd w:id="33"/>
      <w:bookmarkEnd w:id="34"/>
      <w:bookmarkEnd w:id="35"/>
    </w:p>
    <w:p w14:paraId="3AB53E32">
      <w:pPr>
        <w:spacing w:line="360" w:lineRule="auto"/>
        <w:ind w:firstLine="420" w:firstLineChars="200"/>
        <w:rPr>
          <w:rFonts w:hint="default" w:ascii="Times New Roman" w:hAnsi="Times New Roman" w:eastAsia="方正仿宋_GBK" w:cs="Times New Roman"/>
          <w:color w:val="auto"/>
          <w:highlight w:val="none"/>
          <w:u w:val="none"/>
          <w:lang w:val="en-US" w:eastAsia="zh-CN"/>
        </w:rPr>
      </w:pPr>
      <w:bookmarkStart w:id="36" w:name="_Toc144974480"/>
      <w:bookmarkEnd w:id="36"/>
      <w:bookmarkStart w:id="37" w:name="_Toc369531495"/>
      <w:bookmarkEnd w:id="37"/>
      <w:bookmarkStart w:id="38" w:name="_Toc300834927"/>
      <w:bookmarkEnd w:id="38"/>
      <w:bookmarkStart w:id="39" w:name="_Toc152042289"/>
      <w:bookmarkEnd w:id="39"/>
      <w:bookmarkStart w:id="40" w:name="_Toc247513935"/>
      <w:bookmarkEnd w:id="40"/>
      <w:bookmarkStart w:id="41" w:name="_Toc247513934"/>
      <w:bookmarkEnd w:id="41"/>
      <w:bookmarkStart w:id="42" w:name="_Toc30817"/>
      <w:bookmarkEnd w:id="42"/>
      <w:bookmarkStart w:id="43" w:name="_Toc384308187"/>
      <w:bookmarkEnd w:id="43"/>
      <w:bookmarkStart w:id="44" w:name="_Toc361508560"/>
      <w:bookmarkEnd w:id="44"/>
      <w:bookmarkStart w:id="45" w:name="_Toc10785"/>
      <w:bookmarkEnd w:id="45"/>
      <w:bookmarkStart w:id="46" w:name="_Toc152042288"/>
      <w:bookmarkEnd w:id="46"/>
      <w:bookmarkStart w:id="47" w:name="_Toc352691455"/>
      <w:bookmarkEnd w:id="47"/>
      <w:bookmarkStart w:id="48" w:name="_Toc144974481"/>
      <w:bookmarkEnd w:id="48"/>
      <w:bookmarkStart w:id="49" w:name="_Toc352691456"/>
      <w:bookmarkEnd w:id="49"/>
      <w:bookmarkStart w:id="50" w:name="_Toc17972"/>
      <w:bookmarkEnd w:id="50"/>
      <w:bookmarkStart w:id="51" w:name="_Toc369531498"/>
      <w:bookmarkEnd w:id="51"/>
      <w:bookmarkStart w:id="52" w:name="_Toc300834930"/>
      <w:bookmarkEnd w:id="52"/>
      <w:bookmarkStart w:id="53" w:name="_Toc384308185"/>
      <w:bookmarkEnd w:id="53"/>
      <w:bookmarkStart w:id="54" w:name="_Toc352691453"/>
      <w:bookmarkEnd w:id="54"/>
      <w:bookmarkStart w:id="55" w:name="_Toc361508562"/>
      <w:bookmarkEnd w:id="55"/>
      <w:bookmarkStart w:id="56" w:name="_Toc384308188"/>
      <w:bookmarkEnd w:id="56"/>
      <w:bookmarkStart w:id="57" w:name="_Toc361508563"/>
      <w:bookmarkEnd w:id="57"/>
      <w:bookmarkStart w:id="58" w:name="_Toc152045512"/>
      <w:bookmarkEnd w:id="58"/>
      <w:bookmarkStart w:id="59" w:name="_Toc369531497"/>
      <w:bookmarkEnd w:id="59"/>
      <w:bookmarkStart w:id="60" w:name="_Toc300834929"/>
      <w:bookmarkEnd w:id="60"/>
      <w:bookmarkStart w:id="61" w:name="_Toc247527535"/>
      <w:bookmarkEnd w:id="61"/>
      <w:bookmarkStart w:id="62" w:name="_Toc152045513"/>
      <w:bookmarkEnd w:id="62"/>
      <w:bookmarkStart w:id="63" w:name="_Toc247527536"/>
      <w:bookmarkEnd w:id="63"/>
      <w:r>
        <w:rPr>
          <w:rFonts w:hint="default" w:ascii="Times New Roman" w:hAnsi="Times New Roman" w:eastAsia="方正仿宋_GBK" w:cs="Times New Roman"/>
          <w:color w:val="auto"/>
          <w:highlight w:val="none"/>
          <w:u w:val="none"/>
          <w:lang w:val="en-US" w:eastAsia="zh-CN"/>
        </w:rPr>
        <w:t xml:space="preserve">比 选 人：  重庆环保投资集团有限公司                                       </w:t>
      </w:r>
    </w:p>
    <w:p w14:paraId="7E87A853">
      <w:pPr>
        <w:spacing w:line="360" w:lineRule="auto"/>
        <w:ind w:firstLine="420" w:firstLineChars="200"/>
        <w:rPr>
          <w:rFonts w:hint="default" w:ascii="Times New Roman" w:hAnsi="Times New Roman" w:eastAsia="方正仿宋_GBK" w:cs="Times New Roman"/>
          <w:color w:val="auto"/>
          <w:highlight w:val="none"/>
          <w:u w:val="none"/>
          <w:lang w:val="en-US" w:eastAsia="zh-CN"/>
        </w:rPr>
      </w:pPr>
      <w:r>
        <w:rPr>
          <w:rFonts w:hint="default" w:ascii="Times New Roman" w:hAnsi="Times New Roman" w:eastAsia="方正仿宋_GBK" w:cs="Times New Roman"/>
          <w:color w:val="auto"/>
          <w:highlight w:val="none"/>
          <w:u w:val="none"/>
          <w:lang w:val="en-US" w:eastAsia="zh-CN"/>
        </w:rPr>
        <w:t xml:space="preserve">地    址：  重庆市黔江区城东街道新华大道东段168号                              </w:t>
      </w:r>
    </w:p>
    <w:p w14:paraId="5C8BB2EA">
      <w:pPr>
        <w:spacing w:line="360" w:lineRule="auto"/>
        <w:ind w:firstLine="420" w:firstLineChars="200"/>
        <w:rPr>
          <w:rFonts w:hint="default" w:ascii="Times New Roman" w:hAnsi="Times New Roman" w:eastAsia="方正仿宋_GBK" w:cs="Times New Roman"/>
          <w:color w:val="auto"/>
          <w:highlight w:val="none"/>
          <w:u w:val="none"/>
          <w:lang w:val="en-US" w:eastAsia="zh-CN"/>
        </w:rPr>
      </w:pPr>
      <w:r>
        <w:rPr>
          <w:rFonts w:hint="eastAsia" w:ascii="Times New Roman" w:hAnsi="Times New Roman" w:eastAsia="方正仿宋_GBK" w:cs="Times New Roman"/>
          <w:color w:val="auto"/>
          <w:highlight w:val="none"/>
          <w:u w:val="none"/>
          <w:lang w:val="en-US" w:eastAsia="zh-CN"/>
        </w:rPr>
        <w:t>联 系 人</w:t>
      </w:r>
      <w:r>
        <w:rPr>
          <w:rFonts w:hint="default" w:ascii="Times New Roman" w:hAnsi="Times New Roman" w:eastAsia="方正仿宋_GBK" w:cs="Times New Roman"/>
          <w:color w:val="auto"/>
          <w:highlight w:val="none"/>
          <w:u w:val="none"/>
          <w:lang w:val="en-US" w:eastAsia="zh-CN"/>
        </w:rPr>
        <w:t>：</w:t>
      </w:r>
      <w:r>
        <w:rPr>
          <w:rFonts w:hint="eastAsia" w:ascii="Times New Roman" w:hAnsi="Times New Roman" w:eastAsia="方正仿宋_GBK" w:cs="Times New Roman"/>
          <w:color w:val="auto"/>
          <w:highlight w:val="none"/>
          <w:u w:val="none"/>
          <w:lang w:val="en-US" w:eastAsia="zh-CN"/>
        </w:rPr>
        <w:t xml:space="preserve">  </w:t>
      </w:r>
      <w:r>
        <w:rPr>
          <w:rFonts w:hint="default" w:ascii="Times New Roman" w:hAnsi="Times New Roman" w:eastAsia="方正仿宋_GBK" w:cs="Times New Roman"/>
          <w:color w:val="auto"/>
          <w:highlight w:val="none"/>
          <w:u w:val="none"/>
          <w:lang w:val="en-US" w:eastAsia="zh-CN"/>
        </w:rPr>
        <w:t>徐老师</w:t>
      </w:r>
    </w:p>
    <w:p w14:paraId="6A8DF9E0">
      <w:pPr>
        <w:spacing w:line="360" w:lineRule="auto"/>
        <w:ind w:firstLine="420" w:firstLineChars="200"/>
        <w:rPr>
          <w:rFonts w:hint="default" w:ascii="Times New Roman" w:hAnsi="Times New Roman" w:eastAsia="方正仿宋_GBK" w:cs="Times New Roman"/>
          <w:color w:val="auto"/>
          <w:highlight w:val="none"/>
          <w:u w:val="none"/>
          <w:lang w:val="en-US" w:eastAsia="zh-CN"/>
        </w:rPr>
      </w:pPr>
      <w:r>
        <w:rPr>
          <w:rFonts w:hint="default" w:ascii="Times New Roman" w:hAnsi="Times New Roman" w:eastAsia="方正仿宋_GBK" w:cs="Times New Roman"/>
          <w:color w:val="auto"/>
          <w:highlight w:val="none"/>
          <w:u w:val="none"/>
          <w:lang w:val="en-US" w:eastAsia="zh-CN"/>
        </w:rPr>
        <w:t>电</w:t>
      </w:r>
      <w:r>
        <w:rPr>
          <w:rFonts w:hint="eastAsia" w:ascii="Times New Roman" w:hAnsi="Times New Roman" w:eastAsia="方正仿宋_GBK" w:cs="Times New Roman"/>
          <w:color w:val="auto"/>
          <w:highlight w:val="none"/>
          <w:u w:val="none"/>
          <w:lang w:val="en-US" w:eastAsia="zh-CN"/>
        </w:rPr>
        <w:t xml:space="preserve">    </w:t>
      </w:r>
      <w:r>
        <w:rPr>
          <w:rFonts w:hint="default" w:ascii="Times New Roman" w:hAnsi="Times New Roman" w:eastAsia="方正仿宋_GBK" w:cs="Times New Roman"/>
          <w:color w:val="auto"/>
          <w:highlight w:val="none"/>
          <w:u w:val="none"/>
          <w:lang w:val="en-US" w:eastAsia="zh-CN"/>
        </w:rPr>
        <w:t>话：</w:t>
      </w:r>
      <w:r>
        <w:rPr>
          <w:rFonts w:hint="eastAsia" w:ascii="Times New Roman" w:hAnsi="Times New Roman" w:eastAsia="方正仿宋_GBK" w:cs="Times New Roman"/>
          <w:color w:val="auto"/>
          <w:highlight w:val="none"/>
          <w:u w:val="none"/>
          <w:lang w:val="en-US" w:eastAsia="zh-CN"/>
        </w:rPr>
        <w:t xml:space="preserve">  </w:t>
      </w:r>
      <w:r>
        <w:rPr>
          <w:rFonts w:hint="default" w:ascii="Times New Roman" w:hAnsi="Times New Roman" w:eastAsia="方正仿宋_GBK" w:cs="Times New Roman"/>
          <w:color w:val="auto"/>
          <w:highlight w:val="none"/>
          <w:u w:val="none"/>
          <w:lang w:val="en-US" w:eastAsia="zh-CN"/>
        </w:rPr>
        <w:t xml:space="preserve">023-79082866  </w:t>
      </w:r>
    </w:p>
    <w:p w14:paraId="560DCD72">
      <w:pPr>
        <w:spacing w:line="360" w:lineRule="auto"/>
        <w:rPr>
          <w:rFonts w:hint="eastAsia" w:ascii="方正仿宋_GB18030" w:hAnsi="方正仿宋_GB18030" w:eastAsia="方正仿宋_GB18030" w:cs="方正仿宋_GB18030"/>
          <w:color w:val="auto"/>
          <w:highlight w:val="none"/>
          <w:u w:val="single"/>
          <w:lang w:val="en-US" w:eastAsia="zh-CN"/>
        </w:rPr>
      </w:pPr>
    </w:p>
    <w:p w14:paraId="23735B20">
      <w:pPr>
        <w:spacing w:line="360" w:lineRule="auto"/>
        <w:rPr>
          <w:rFonts w:hint="eastAsia" w:ascii="方正仿宋_GB18030" w:hAnsi="方正仿宋_GB18030" w:eastAsia="方正仿宋_GB18030" w:cs="方正仿宋_GB18030"/>
          <w:color w:val="auto"/>
          <w:highlight w:val="none"/>
          <w:u w:val="single"/>
          <w:lang w:val="en-US" w:eastAsia="zh-CN"/>
        </w:rPr>
      </w:pPr>
    </w:p>
    <w:p w14:paraId="35120562">
      <w:pPr>
        <w:spacing w:line="360" w:lineRule="auto"/>
        <w:rPr>
          <w:rFonts w:hint="eastAsia" w:ascii="方正仿宋_GB18030" w:hAnsi="方正仿宋_GB18030" w:eastAsia="方正仿宋_GB18030" w:cs="方正仿宋_GB18030"/>
          <w:color w:val="auto"/>
          <w:highlight w:val="none"/>
          <w:u w:val="single"/>
          <w:lang w:val="en-US" w:eastAsia="zh-CN"/>
        </w:rPr>
      </w:pPr>
    </w:p>
    <w:p w14:paraId="6E2547B3">
      <w:pPr>
        <w:spacing w:line="360" w:lineRule="auto"/>
        <w:ind w:firstLine="5460" w:firstLineChars="2600"/>
        <w:rPr>
          <w:rFonts w:hint="eastAsia" w:ascii="方正黑体_GBK" w:hAnsi="方正黑体_GBK" w:eastAsia="方正黑体_GBK" w:cs="方正黑体_GBK"/>
          <w:snapToGrid w:val="0"/>
          <w:color w:val="auto"/>
          <w:kern w:val="0"/>
          <w:highlight w:val="none"/>
          <w:lang w:val="en-US" w:eastAsia="zh-CN" w:bidi="ar-SA"/>
        </w:rPr>
      </w:pPr>
      <w:r>
        <w:rPr>
          <w:rFonts w:hint="eastAsia" w:ascii="方正仿宋_GB18030" w:hAnsi="方正仿宋_GB18030" w:eastAsia="方正仿宋_GB18030" w:cs="方正仿宋_GB18030"/>
          <w:color w:val="auto"/>
          <w:highlight w:val="none"/>
          <w:u w:val="single"/>
          <w:lang w:val="en-US" w:eastAsia="zh-CN"/>
        </w:rPr>
        <w:t xml:space="preserve">  2026  </w:t>
      </w:r>
      <w:r>
        <w:rPr>
          <w:rFonts w:hint="eastAsia" w:ascii="方正仿宋_GB18030" w:hAnsi="方正仿宋_GB18030" w:eastAsia="方正仿宋_GB18030" w:cs="方正仿宋_GB18030"/>
          <w:color w:val="auto"/>
          <w:highlight w:val="none"/>
          <w:u w:val="none"/>
          <w:lang w:val="en-US" w:eastAsia="zh-CN"/>
        </w:rPr>
        <w:t>年</w:t>
      </w:r>
      <w:r>
        <w:rPr>
          <w:rFonts w:hint="eastAsia" w:ascii="方正仿宋_GB18030" w:hAnsi="方正仿宋_GB18030" w:eastAsia="方正仿宋_GB18030" w:cs="方正仿宋_GB18030"/>
          <w:color w:val="auto"/>
          <w:highlight w:val="none"/>
          <w:u w:val="single"/>
          <w:lang w:val="en-US" w:eastAsia="zh-CN"/>
        </w:rPr>
        <w:t xml:space="preserve"> 7  </w:t>
      </w:r>
      <w:r>
        <w:rPr>
          <w:rFonts w:hint="eastAsia" w:ascii="方正仿宋_GB18030" w:hAnsi="方正仿宋_GB18030" w:eastAsia="方正仿宋_GB18030" w:cs="方正仿宋_GB18030"/>
          <w:color w:val="auto"/>
          <w:highlight w:val="none"/>
          <w:u w:val="none"/>
          <w:lang w:val="en-US" w:eastAsia="zh-CN"/>
        </w:rPr>
        <w:t>月</w:t>
      </w:r>
      <w:r>
        <w:rPr>
          <w:rFonts w:hint="eastAsia" w:ascii="方正仿宋_GB18030" w:hAnsi="方正仿宋_GB18030" w:eastAsia="方正仿宋_GB18030" w:cs="方正仿宋_GB18030"/>
          <w:color w:val="auto"/>
          <w:highlight w:val="none"/>
          <w:u w:val="single"/>
          <w:lang w:val="en-US" w:eastAsia="zh-CN"/>
        </w:rPr>
        <w:t xml:space="preserve">       </w:t>
      </w:r>
      <w:r>
        <w:rPr>
          <w:rFonts w:hint="eastAsia" w:ascii="方正仿宋_GB18030" w:hAnsi="方正仿宋_GB18030" w:eastAsia="方正仿宋_GB18030" w:cs="方正仿宋_GB18030"/>
          <w:color w:val="auto"/>
          <w:highlight w:val="none"/>
          <w:u w:val="none"/>
          <w:lang w:val="en-US" w:eastAsia="zh-CN"/>
        </w:rPr>
        <w:t>日</w:t>
      </w:r>
      <w:bookmarkStart w:id="64" w:name="_Toc27337"/>
    </w:p>
    <w:p w14:paraId="3639A422">
      <w:pPr>
        <w:pStyle w:val="2"/>
        <w:widowControl w:val="0"/>
        <w:kinsoku/>
        <w:autoSpaceDE/>
        <w:autoSpaceDN/>
        <w:adjustRightInd/>
        <w:snapToGrid/>
        <w:spacing w:before="0" w:after="0" w:line="360" w:lineRule="auto"/>
        <w:jc w:val="center"/>
        <w:textAlignment w:val="auto"/>
        <w:rPr>
          <w:rFonts w:hint="eastAsia" w:ascii="方正黑体_GBK" w:hAnsi="方正黑体_GBK" w:eastAsia="方正黑体_GBK" w:cs="方正黑体_GBK"/>
          <w:snapToGrid w:val="0"/>
          <w:color w:val="auto"/>
          <w:kern w:val="0"/>
          <w:highlight w:val="none"/>
          <w:lang w:val="en-US" w:eastAsia="zh-CN" w:bidi="ar-SA"/>
        </w:rPr>
      </w:pPr>
    </w:p>
    <w:p w14:paraId="69687FF6">
      <w:pPr>
        <w:rPr>
          <w:rFonts w:hint="eastAsia" w:ascii="方正黑体_GBK" w:hAnsi="方正黑体_GBK" w:eastAsia="方正黑体_GBK" w:cs="方正黑体_GBK"/>
          <w:snapToGrid w:val="0"/>
          <w:color w:val="auto"/>
          <w:kern w:val="0"/>
          <w:highlight w:val="none"/>
          <w:lang w:val="en-US" w:eastAsia="zh-CN" w:bidi="ar-SA"/>
        </w:rPr>
      </w:pPr>
    </w:p>
    <w:p w14:paraId="060E8614">
      <w:pPr>
        <w:rPr>
          <w:rFonts w:hint="eastAsia" w:ascii="方正黑体_GBK" w:hAnsi="方正黑体_GBK" w:eastAsia="方正黑体_GBK" w:cs="方正黑体_GBK"/>
          <w:snapToGrid w:val="0"/>
          <w:color w:val="auto"/>
          <w:kern w:val="0"/>
          <w:highlight w:val="none"/>
          <w:lang w:val="en-US" w:eastAsia="zh-CN" w:bidi="ar-SA"/>
        </w:rPr>
      </w:pPr>
    </w:p>
    <w:p w14:paraId="0AF3CA80">
      <w:pPr>
        <w:rPr>
          <w:rFonts w:hint="eastAsia" w:ascii="方正黑体_GBK" w:hAnsi="方正黑体_GBK" w:eastAsia="方正黑体_GBK" w:cs="方正黑体_GBK"/>
          <w:snapToGrid w:val="0"/>
          <w:color w:val="auto"/>
          <w:kern w:val="0"/>
          <w:highlight w:val="none"/>
          <w:lang w:val="en-US" w:eastAsia="zh-CN" w:bidi="ar-SA"/>
        </w:rPr>
      </w:pPr>
    </w:p>
    <w:p w14:paraId="4144F029">
      <w:pPr>
        <w:rPr>
          <w:rFonts w:hint="eastAsia" w:ascii="方正黑体_GBK" w:hAnsi="方正黑体_GBK" w:eastAsia="方正黑体_GBK" w:cs="方正黑体_GBK"/>
          <w:snapToGrid w:val="0"/>
          <w:color w:val="auto"/>
          <w:kern w:val="0"/>
          <w:highlight w:val="none"/>
          <w:lang w:val="en-US" w:eastAsia="zh-CN" w:bidi="ar-SA"/>
        </w:rPr>
      </w:pPr>
    </w:p>
    <w:p w14:paraId="76E7F4F5">
      <w:pPr>
        <w:rPr>
          <w:rFonts w:hint="eastAsia" w:ascii="方正黑体_GBK" w:hAnsi="方正黑体_GBK" w:eastAsia="方正黑体_GBK" w:cs="方正黑体_GBK"/>
          <w:snapToGrid w:val="0"/>
          <w:color w:val="auto"/>
          <w:kern w:val="0"/>
          <w:highlight w:val="none"/>
          <w:lang w:val="en-US" w:eastAsia="zh-CN" w:bidi="ar-SA"/>
        </w:rPr>
      </w:pPr>
    </w:p>
    <w:p w14:paraId="591861CA">
      <w:pPr>
        <w:rPr>
          <w:rFonts w:hint="eastAsia" w:ascii="方正黑体_GBK" w:hAnsi="方正黑体_GBK" w:eastAsia="方正黑体_GBK" w:cs="方正黑体_GBK"/>
          <w:snapToGrid w:val="0"/>
          <w:color w:val="auto"/>
          <w:kern w:val="0"/>
          <w:highlight w:val="none"/>
          <w:lang w:val="en-US" w:eastAsia="zh-CN" w:bidi="ar-SA"/>
        </w:rPr>
      </w:pPr>
    </w:p>
    <w:p w14:paraId="4DD404B5">
      <w:pPr>
        <w:rPr>
          <w:rFonts w:hint="eastAsia" w:ascii="方正黑体_GBK" w:hAnsi="方正黑体_GBK" w:eastAsia="方正黑体_GBK" w:cs="方正黑体_GBK"/>
          <w:snapToGrid w:val="0"/>
          <w:color w:val="auto"/>
          <w:kern w:val="0"/>
          <w:highlight w:val="none"/>
          <w:lang w:val="en-US" w:eastAsia="zh-CN" w:bidi="ar-SA"/>
        </w:rPr>
      </w:pPr>
    </w:p>
    <w:p w14:paraId="61C96BF1">
      <w:pPr>
        <w:pStyle w:val="2"/>
        <w:widowControl w:val="0"/>
        <w:kinsoku/>
        <w:autoSpaceDE/>
        <w:autoSpaceDN/>
        <w:adjustRightInd/>
        <w:snapToGrid/>
        <w:spacing w:before="0" w:after="0" w:line="360" w:lineRule="auto"/>
        <w:jc w:val="center"/>
        <w:textAlignment w:val="auto"/>
        <w:rPr>
          <w:rFonts w:hint="eastAsia" w:ascii="方正黑体_GBK" w:hAnsi="方正黑体_GBK" w:eastAsia="方正黑体_GBK" w:cs="方正黑体_GBK"/>
          <w:snapToGrid w:val="0"/>
          <w:color w:val="auto"/>
          <w:kern w:val="0"/>
          <w:highlight w:val="none"/>
          <w:lang w:val="en-US" w:eastAsia="zh-CN" w:bidi="ar-SA"/>
        </w:rPr>
      </w:pPr>
      <w:r>
        <w:rPr>
          <w:rFonts w:hint="eastAsia" w:ascii="方正黑体_GBK" w:hAnsi="方正黑体_GBK" w:eastAsia="方正黑体_GBK" w:cs="方正黑体_GBK"/>
          <w:snapToGrid w:val="0"/>
          <w:color w:val="auto"/>
          <w:kern w:val="0"/>
          <w:highlight w:val="none"/>
          <w:lang w:val="en-US" w:eastAsia="zh-CN" w:bidi="ar-SA"/>
        </w:rPr>
        <w:t>第二章 竞选人须知</w:t>
      </w:r>
      <w:bookmarkEnd w:id="64"/>
    </w:p>
    <w:p w14:paraId="7CC0B44D">
      <w:pPr>
        <w:pStyle w:val="3"/>
        <w:widowControl w:val="0"/>
        <w:kinsoku/>
        <w:autoSpaceDE/>
        <w:autoSpaceDN/>
        <w:adjustRightInd/>
        <w:snapToGrid/>
        <w:spacing w:before="0" w:after="0" w:line="360" w:lineRule="auto"/>
        <w:jc w:val="center"/>
        <w:textAlignment w:val="auto"/>
        <w:rPr>
          <w:rFonts w:hint="eastAsia" w:ascii="方正楷体_GBK" w:hAnsi="方正楷体_GBK" w:eastAsia="方正楷体_GBK" w:cs="方正楷体_GBK"/>
          <w:snapToGrid/>
          <w:color w:val="auto"/>
          <w:kern w:val="2"/>
          <w:szCs w:val="21"/>
          <w:highlight w:val="none"/>
          <w:lang w:val="en-US" w:eastAsia="zh-CN" w:bidi="ar-SA"/>
        </w:rPr>
      </w:pPr>
      <w:bookmarkStart w:id="65" w:name="_Toc16977"/>
      <w:r>
        <w:rPr>
          <w:rFonts w:hint="eastAsia" w:ascii="方正楷体_GBK" w:hAnsi="方正楷体_GBK" w:eastAsia="方正楷体_GBK" w:cs="方正楷体_GBK"/>
          <w:bCs/>
          <w:snapToGrid/>
          <w:color w:val="auto"/>
          <w:kern w:val="2"/>
          <w:szCs w:val="32"/>
          <w:highlight w:val="none"/>
          <w:lang w:val="en-US" w:eastAsia="zh-CN" w:bidi="ar-SA"/>
        </w:rPr>
        <w:t>竞选人须知前附表</w:t>
      </w:r>
      <w:bookmarkEnd w:id="65"/>
    </w:p>
    <w:p w14:paraId="18308AC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正文内容不允许修改。若竞选人须知前附表与正文不一致的地方，以竞选人须知前附表为准。</w:t>
      </w:r>
    </w:p>
    <w:tbl>
      <w:tblPr>
        <w:tblStyle w:val="16"/>
        <w:tblW w:w="8404"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741"/>
        <w:gridCol w:w="5500"/>
      </w:tblGrid>
      <w:tr w14:paraId="7ED5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3" w:type="dxa"/>
            <w:vAlign w:val="center"/>
          </w:tcPr>
          <w:p w14:paraId="699E204E">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b/>
                <w:snapToGrid/>
                <w:color w:val="auto"/>
                <w:kern w:val="2"/>
                <w:szCs w:val="21"/>
                <w:highlight w:val="none"/>
                <w:lang w:val="en-US" w:eastAsia="zh-CN" w:bidi="ar-SA"/>
              </w:rPr>
            </w:pPr>
            <w:r>
              <w:rPr>
                <w:rFonts w:hint="eastAsia" w:ascii="方正仿宋_GBK" w:hAnsi="方正仿宋_GBK" w:eastAsia="方正仿宋_GBK" w:cs="方正仿宋_GBK"/>
                <w:b/>
                <w:snapToGrid/>
                <w:color w:val="auto"/>
                <w:kern w:val="2"/>
                <w:szCs w:val="21"/>
                <w:highlight w:val="none"/>
                <w:lang w:val="en-US" w:eastAsia="zh-CN" w:bidi="ar-SA"/>
              </w:rPr>
              <w:t>条款号</w:t>
            </w:r>
          </w:p>
        </w:tc>
        <w:tc>
          <w:tcPr>
            <w:tcW w:w="1741" w:type="dxa"/>
            <w:vAlign w:val="center"/>
          </w:tcPr>
          <w:p w14:paraId="4C3E547E">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b/>
                <w:snapToGrid/>
                <w:color w:val="auto"/>
                <w:kern w:val="2"/>
                <w:szCs w:val="21"/>
                <w:highlight w:val="none"/>
                <w:lang w:val="en-US" w:eastAsia="zh-CN" w:bidi="ar-SA"/>
              </w:rPr>
            </w:pPr>
            <w:r>
              <w:rPr>
                <w:rFonts w:hint="eastAsia" w:ascii="方正仿宋_GBK" w:hAnsi="方正仿宋_GBK" w:eastAsia="方正仿宋_GBK" w:cs="方正仿宋_GBK"/>
                <w:b/>
                <w:snapToGrid/>
                <w:color w:val="auto"/>
                <w:kern w:val="2"/>
                <w:szCs w:val="21"/>
                <w:highlight w:val="none"/>
                <w:lang w:val="en-US" w:eastAsia="zh-CN" w:bidi="ar-SA"/>
              </w:rPr>
              <w:t>条款名称</w:t>
            </w:r>
          </w:p>
        </w:tc>
        <w:tc>
          <w:tcPr>
            <w:tcW w:w="5500" w:type="dxa"/>
            <w:vAlign w:val="center"/>
          </w:tcPr>
          <w:p w14:paraId="13177F22">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b/>
                <w:snapToGrid/>
                <w:color w:val="auto"/>
                <w:kern w:val="2"/>
                <w:szCs w:val="21"/>
                <w:highlight w:val="none"/>
                <w:lang w:val="en-US" w:eastAsia="zh-CN" w:bidi="ar-SA"/>
              </w:rPr>
            </w:pPr>
            <w:r>
              <w:rPr>
                <w:rFonts w:hint="eastAsia" w:ascii="方正仿宋_GBK" w:hAnsi="方正仿宋_GBK" w:eastAsia="方正仿宋_GBK" w:cs="方正仿宋_GBK"/>
                <w:b/>
                <w:snapToGrid/>
                <w:color w:val="auto"/>
                <w:kern w:val="2"/>
                <w:szCs w:val="21"/>
                <w:highlight w:val="none"/>
                <w:lang w:val="en-US" w:eastAsia="zh-CN" w:bidi="ar-SA"/>
              </w:rPr>
              <w:t>编列内容</w:t>
            </w:r>
          </w:p>
        </w:tc>
      </w:tr>
      <w:tr w14:paraId="7B09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1163" w:type="dxa"/>
            <w:vAlign w:val="center"/>
          </w:tcPr>
          <w:p w14:paraId="3243E991">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1.1.2</w:t>
            </w:r>
          </w:p>
        </w:tc>
        <w:tc>
          <w:tcPr>
            <w:tcW w:w="1741" w:type="dxa"/>
            <w:vAlign w:val="center"/>
          </w:tcPr>
          <w:p w14:paraId="696989A9">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比选人</w:t>
            </w:r>
          </w:p>
        </w:tc>
        <w:tc>
          <w:tcPr>
            <w:tcW w:w="5500" w:type="dxa"/>
            <w:vAlign w:val="top"/>
          </w:tcPr>
          <w:p w14:paraId="6FA87AC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名称：重庆环保投资集团有限公司</w:t>
            </w:r>
          </w:p>
          <w:p w14:paraId="78BBCFB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u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地址：</w:t>
            </w:r>
            <w:r>
              <w:rPr>
                <w:rFonts w:hint="eastAsia" w:ascii="方正仿宋_GBK" w:hAnsi="方正仿宋_GBK" w:eastAsia="方正仿宋_GBK" w:cs="方正仿宋_GBK"/>
                <w:color w:val="auto"/>
                <w:highlight w:val="none"/>
                <w:u w:val="none"/>
                <w:lang w:val="en-US" w:eastAsia="zh-CN"/>
              </w:rPr>
              <w:t xml:space="preserve">重庆市黔江区城东街道新华大道东段168号 </w:t>
            </w:r>
          </w:p>
          <w:p w14:paraId="782317F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u w:val="none"/>
                <w:lang w:val="en-US" w:eastAsia="zh-CN" w:bidi="ar-SA"/>
              </w:rPr>
            </w:pPr>
            <w:r>
              <w:rPr>
                <w:rFonts w:hint="eastAsia" w:ascii="方正仿宋_GBK" w:hAnsi="方正仿宋_GBK" w:eastAsia="方正仿宋_GBK" w:cs="方正仿宋_GBK"/>
                <w:snapToGrid/>
                <w:color w:val="auto"/>
                <w:kern w:val="2"/>
                <w:szCs w:val="21"/>
                <w:highlight w:val="none"/>
                <w:u w:val="none"/>
                <w:lang w:val="en-US" w:eastAsia="zh-CN" w:bidi="ar-SA"/>
              </w:rPr>
              <w:t>联系人：</w:t>
            </w:r>
            <w:r>
              <w:rPr>
                <w:rFonts w:hint="eastAsia" w:ascii="方正仿宋_GBK" w:hAnsi="方正仿宋_GBK" w:eastAsia="方正仿宋_GBK" w:cs="方正仿宋_GBK"/>
                <w:color w:val="auto"/>
                <w:highlight w:val="none"/>
                <w:u w:val="none"/>
                <w:lang w:val="en-US" w:eastAsia="zh-CN"/>
              </w:rPr>
              <w:t>徐老师</w:t>
            </w:r>
          </w:p>
          <w:p w14:paraId="7BF288B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u w:val="none"/>
                <w:lang w:val="en-US" w:eastAsia="zh-CN" w:bidi="ar-SA"/>
              </w:rPr>
              <w:t>电话：</w:t>
            </w:r>
            <w:r>
              <w:rPr>
                <w:rFonts w:hint="eastAsia" w:ascii="方正仿宋_GBK" w:hAnsi="方正仿宋_GBK" w:eastAsia="方正仿宋_GBK" w:cs="方正仿宋_GBK"/>
                <w:color w:val="auto"/>
                <w:highlight w:val="none"/>
                <w:u w:val="none"/>
                <w:lang w:val="en-US" w:eastAsia="zh-CN"/>
              </w:rPr>
              <w:t xml:space="preserve">023-79082866 </w:t>
            </w:r>
          </w:p>
        </w:tc>
      </w:tr>
      <w:tr w14:paraId="4113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trPr>
        <w:tc>
          <w:tcPr>
            <w:tcW w:w="1163" w:type="dxa"/>
            <w:vAlign w:val="center"/>
          </w:tcPr>
          <w:p w14:paraId="5F0E73DE">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1.1.3</w:t>
            </w:r>
          </w:p>
        </w:tc>
        <w:tc>
          <w:tcPr>
            <w:tcW w:w="1741" w:type="dxa"/>
            <w:vAlign w:val="center"/>
          </w:tcPr>
          <w:p w14:paraId="048292D1">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color w:val="auto"/>
                <w:vertAlign w:val="baseline"/>
              </w:rPr>
            </w:pPr>
            <w:r>
              <w:rPr>
                <w:rFonts w:hint="eastAsia" w:ascii="方正仿宋_GBK" w:hAnsi="方正仿宋_GBK" w:eastAsia="方正仿宋_GBK" w:cs="方正仿宋_GBK"/>
                <w:snapToGrid/>
                <w:color w:val="auto"/>
                <w:kern w:val="2"/>
                <w:szCs w:val="21"/>
                <w:highlight w:val="none"/>
                <w:lang w:val="en-US" w:eastAsia="zh-CN" w:bidi="ar-SA"/>
              </w:rPr>
              <w:t>代理机构</w:t>
            </w:r>
          </w:p>
        </w:tc>
        <w:tc>
          <w:tcPr>
            <w:tcW w:w="5500" w:type="dxa"/>
            <w:vAlign w:val="center"/>
          </w:tcPr>
          <w:p w14:paraId="635952C9">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w:t>
            </w:r>
          </w:p>
        </w:tc>
      </w:tr>
      <w:tr w14:paraId="60B0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665FE78">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1.1.4</w:t>
            </w:r>
          </w:p>
        </w:tc>
        <w:tc>
          <w:tcPr>
            <w:tcW w:w="1741" w:type="dxa"/>
            <w:vAlign w:val="center"/>
          </w:tcPr>
          <w:p w14:paraId="5CA4A14D">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项目名称</w:t>
            </w:r>
          </w:p>
        </w:tc>
        <w:tc>
          <w:tcPr>
            <w:tcW w:w="5500" w:type="dxa"/>
            <w:vAlign w:val="top"/>
          </w:tcPr>
          <w:p w14:paraId="0AC8E9D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2026年渝东南分公司（第一批）设备采购</w:t>
            </w:r>
          </w:p>
        </w:tc>
      </w:tr>
      <w:tr w14:paraId="387C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E543423">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1.2.1</w:t>
            </w:r>
          </w:p>
        </w:tc>
        <w:tc>
          <w:tcPr>
            <w:tcW w:w="1741" w:type="dxa"/>
            <w:vAlign w:val="center"/>
          </w:tcPr>
          <w:p w14:paraId="72117D2E">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资金来源及比例</w:t>
            </w:r>
          </w:p>
        </w:tc>
        <w:tc>
          <w:tcPr>
            <w:tcW w:w="5500" w:type="dxa"/>
            <w:vAlign w:val="top"/>
          </w:tcPr>
          <w:p w14:paraId="421AED48">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资金来源：自筹。比例：100%。</w:t>
            </w:r>
          </w:p>
        </w:tc>
      </w:tr>
      <w:tr w14:paraId="60DA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E721172">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1.2.2</w:t>
            </w:r>
          </w:p>
        </w:tc>
        <w:tc>
          <w:tcPr>
            <w:tcW w:w="1741" w:type="dxa"/>
            <w:vAlign w:val="center"/>
          </w:tcPr>
          <w:p w14:paraId="02EDF837">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资金落实情况</w:t>
            </w:r>
          </w:p>
        </w:tc>
        <w:tc>
          <w:tcPr>
            <w:tcW w:w="5500" w:type="dxa"/>
            <w:vAlign w:val="top"/>
          </w:tcPr>
          <w:p w14:paraId="593F85E3">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已落实。</w:t>
            </w:r>
          </w:p>
        </w:tc>
      </w:tr>
      <w:tr w14:paraId="4B77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5F7ECEC">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1.3.1</w:t>
            </w:r>
          </w:p>
        </w:tc>
        <w:tc>
          <w:tcPr>
            <w:tcW w:w="1741" w:type="dxa"/>
            <w:vAlign w:val="center"/>
          </w:tcPr>
          <w:p w14:paraId="2300DEAD">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比选范围</w:t>
            </w:r>
          </w:p>
        </w:tc>
        <w:tc>
          <w:tcPr>
            <w:tcW w:w="5500" w:type="dxa"/>
            <w:vAlign w:val="top"/>
          </w:tcPr>
          <w:p w14:paraId="628B12E3">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1.招采覆盖范围：设备共计40台：含便携式DO仪4台、泵吸式气体检测仪5台、管道内窥镜1台，超声波明渠流量计10台、罗茨风机4台、气动隔膜泵2台、</w:t>
            </w:r>
            <w:r>
              <w:rPr>
                <w:rFonts w:hint="default" w:ascii="方正仿宋_GBK" w:hAnsi="方正仿宋_GBK" w:eastAsia="方正仿宋_GBK" w:cs="方正仿宋_GBK"/>
                <w:snapToGrid/>
                <w:color w:val="auto"/>
                <w:kern w:val="2"/>
                <w:szCs w:val="21"/>
                <w:highlight w:val="none"/>
                <w:lang w:val="en-US" w:eastAsia="zh-CN" w:bidi="ar-SA"/>
              </w:rPr>
              <w:t>6</w:t>
            </w:r>
            <w:r>
              <w:rPr>
                <w:rFonts w:hint="eastAsia" w:ascii="方正仿宋_GBK" w:hAnsi="方正仿宋_GBK" w:eastAsia="方正仿宋_GBK" w:cs="方正仿宋_GBK"/>
                <w:snapToGrid/>
                <w:color w:val="auto"/>
                <w:kern w:val="2"/>
                <w:szCs w:val="21"/>
                <w:highlight w:val="none"/>
                <w:lang w:val="en-US" w:eastAsia="zh-CN" w:bidi="ar-SA"/>
              </w:rPr>
              <w:t>台立式桨叶搅拌机、1台移动离心式潜污泵、3台潜水推流器、2台单级离心泵（配套1个控制柜）和2台螺杆泵。</w:t>
            </w:r>
          </w:p>
          <w:p w14:paraId="12C0C94A">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2.设备需求型号及数量：</w:t>
            </w:r>
          </w:p>
          <w:tbl>
            <w:tblPr>
              <w:tblStyle w:val="15"/>
              <w:tblW w:w="5053"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416"/>
              <w:gridCol w:w="2450"/>
              <w:gridCol w:w="734"/>
              <w:gridCol w:w="716"/>
            </w:tblGrid>
            <w:tr w14:paraId="393A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36F4">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设备名称</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0998">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数量</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43A2">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技术参数</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1D7F">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含税单价</w:t>
                  </w:r>
                  <w:r>
                    <w:rPr>
                      <w:rFonts w:hint="eastAsia" w:ascii="方正仿宋_GBK" w:hAnsi="方正仿宋_GBK" w:eastAsia="方正仿宋_GBK" w:cs="方正仿宋_GBK"/>
                      <w:snapToGrid/>
                      <w:color w:val="auto"/>
                      <w:kern w:val="2"/>
                      <w:szCs w:val="21"/>
                      <w:highlight w:val="none"/>
                      <w:lang w:val="en-US" w:eastAsia="zh-CN" w:bidi="ar-SA"/>
                    </w:rPr>
                    <w:t>限价</w:t>
                  </w:r>
                  <w:r>
                    <w:rPr>
                      <w:rFonts w:hint="default" w:ascii="方正仿宋_GBK" w:hAnsi="方正仿宋_GBK" w:eastAsia="方正仿宋_GBK" w:cs="方正仿宋_GBK"/>
                      <w:snapToGrid/>
                      <w:color w:val="auto"/>
                      <w:kern w:val="2"/>
                      <w:szCs w:val="21"/>
                      <w:highlight w:val="none"/>
                      <w:lang w:val="en-US" w:eastAsia="zh-CN" w:bidi="ar-SA"/>
                    </w:rPr>
                    <w:t>（元）</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4E49">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小计</w:t>
                  </w:r>
                  <w:r>
                    <w:rPr>
                      <w:rFonts w:hint="eastAsia" w:ascii="方正仿宋_GBK" w:hAnsi="方正仿宋_GBK" w:eastAsia="方正仿宋_GBK" w:cs="方正仿宋_GBK"/>
                      <w:snapToGrid/>
                      <w:color w:val="auto"/>
                      <w:kern w:val="2"/>
                      <w:szCs w:val="21"/>
                      <w:highlight w:val="none"/>
                      <w:lang w:val="en-US" w:eastAsia="zh-CN" w:bidi="ar-SA"/>
                    </w:rPr>
                    <w:t>限价</w:t>
                  </w:r>
                  <w:r>
                    <w:rPr>
                      <w:rFonts w:hint="default" w:ascii="方正仿宋_GBK" w:hAnsi="方正仿宋_GBK" w:eastAsia="方正仿宋_GBK" w:cs="方正仿宋_GBK"/>
                      <w:snapToGrid/>
                      <w:color w:val="auto"/>
                      <w:kern w:val="2"/>
                      <w:szCs w:val="21"/>
                      <w:highlight w:val="none"/>
                      <w:lang w:val="en-US" w:eastAsia="zh-CN" w:bidi="ar-SA"/>
                    </w:rPr>
                    <w:t>（元）</w:t>
                  </w:r>
                </w:p>
              </w:tc>
            </w:tr>
            <w:tr w14:paraId="31D6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E10F">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便携式DO仪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9671">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4</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C016">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溶解氧（DO）：0.0～20.0mg/L</w:t>
                  </w:r>
                  <w:r>
                    <w:rPr>
                      <w:rFonts w:hint="default" w:ascii="方正仿宋_GBK" w:hAnsi="方正仿宋_GBK" w:eastAsia="方正仿宋_GBK" w:cs="方正仿宋_GBK"/>
                      <w:snapToGrid/>
                      <w:color w:val="auto"/>
                      <w:kern w:val="2"/>
                      <w:szCs w:val="21"/>
                      <w:highlight w:val="none"/>
                      <w:lang w:val="en-US" w:eastAsia="zh-CN" w:bidi="ar-SA"/>
                    </w:rPr>
                    <w:br w:type="textWrapping"/>
                  </w:r>
                  <w:r>
                    <w:rPr>
                      <w:rFonts w:hint="default" w:ascii="方正仿宋_GBK" w:hAnsi="方正仿宋_GBK" w:eastAsia="方正仿宋_GBK" w:cs="方正仿宋_GBK"/>
                      <w:snapToGrid/>
                      <w:color w:val="auto"/>
                      <w:kern w:val="2"/>
                      <w:szCs w:val="21"/>
                      <w:highlight w:val="none"/>
                      <w:lang w:val="en-US" w:eastAsia="zh-CN" w:bidi="ar-SA"/>
                    </w:rPr>
                    <w:t>饱和度：0～200%</w:t>
                  </w:r>
                  <w:r>
                    <w:rPr>
                      <w:rFonts w:hint="default" w:ascii="方正仿宋_GBK" w:hAnsi="方正仿宋_GBK" w:eastAsia="方正仿宋_GBK" w:cs="方正仿宋_GBK"/>
                      <w:snapToGrid/>
                      <w:color w:val="auto"/>
                      <w:kern w:val="2"/>
                      <w:szCs w:val="21"/>
                      <w:highlight w:val="none"/>
                      <w:lang w:val="en-US" w:eastAsia="zh-CN" w:bidi="ar-SA"/>
                    </w:rPr>
                    <w:br w:type="textWrapping"/>
                  </w:r>
                  <w:r>
                    <w:rPr>
                      <w:rFonts w:hint="default" w:ascii="方正仿宋_GBK" w:hAnsi="方正仿宋_GBK" w:eastAsia="方正仿宋_GBK" w:cs="方正仿宋_GBK"/>
                      <w:snapToGrid/>
                      <w:color w:val="auto"/>
                      <w:kern w:val="2"/>
                      <w:szCs w:val="21"/>
                      <w:highlight w:val="none"/>
                      <w:lang w:val="en-US" w:eastAsia="zh-CN" w:bidi="ar-SA"/>
                    </w:rPr>
                    <w:t xml:space="preserve">温度（T）：0～100℃        </w:t>
                  </w:r>
                </w:p>
                <w:p w14:paraId="32EB777A">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 xml:space="preserve">   测量精度：溶氧度：±0.2mg/L  </w:t>
                  </w:r>
                </w:p>
                <w:p w14:paraId="502CDF03">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饱和度：±0.5mg/L</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CFF8">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 xml:space="preserve">2360.00 </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F9FF">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9440</w:t>
                  </w:r>
                </w:p>
              </w:tc>
            </w:tr>
            <w:tr w14:paraId="6BF52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E8B8">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泵吸式气体检测仪</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AB21">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5</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67B81">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四合一泵吸式气体检测仪</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CDAE">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 xml:space="preserve">4700.00 </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20EE">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23500</w:t>
                  </w:r>
                </w:p>
              </w:tc>
            </w:tr>
            <w:tr w14:paraId="46E64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7DFF">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管道内窥镜(QV)</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EAAC">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1</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2F49">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基本功能：</w:t>
                  </w:r>
                  <w:r>
                    <w:rPr>
                      <w:rFonts w:hint="eastAsia" w:ascii="方正仿宋_GBK" w:hAnsi="方正仿宋_GBK" w:eastAsia="方正仿宋_GBK" w:cs="方正仿宋_GBK"/>
                      <w:snapToGrid/>
                      <w:color w:val="auto"/>
                      <w:kern w:val="2"/>
                      <w:szCs w:val="21"/>
                      <w:highlight w:val="none"/>
                      <w:lang w:val="en-US" w:eastAsia="zh-CN" w:bidi="ar-SA"/>
                    </w:rPr>
                    <w:t>不小于</w:t>
                  </w:r>
                  <w:r>
                    <w:rPr>
                      <w:rFonts w:hint="default" w:ascii="方正仿宋_GBK" w:hAnsi="方正仿宋_GBK" w:eastAsia="方正仿宋_GBK" w:cs="方正仿宋_GBK"/>
                      <w:snapToGrid/>
                      <w:color w:val="auto"/>
                      <w:kern w:val="2"/>
                      <w:szCs w:val="21"/>
                      <w:highlight w:val="none"/>
                      <w:lang w:val="en-US" w:eastAsia="zh-CN" w:bidi="ar-SA"/>
                    </w:rPr>
                    <w:t>9寸显示屏，旋转双摄像机，拍照，视频录制，录音，分辨率1920*1080P；摄像头视角：</w:t>
                  </w:r>
                  <w:r>
                    <w:rPr>
                      <w:rFonts w:hint="eastAsia" w:ascii="方正仿宋_GBK" w:hAnsi="方正仿宋_GBK" w:eastAsia="方正仿宋_GBK" w:cs="方正仿宋_GBK"/>
                      <w:snapToGrid/>
                      <w:color w:val="auto"/>
                      <w:kern w:val="2"/>
                      <w:szCs w:val="21"/>
                      <w:highlight w:val="none"/>
                      <w:lang w:val="en-US" w:eastAsia="zh-CN" w:bidi="ar-SA"/>
                    </w:rPr>
                    <w:t>≥</w:t>
                  </w:r>
                  <w:r>
                    <w:rPr>
                      <w:rFonts w:hint="default" w:ascii="方正仿宋_GBK" w:hAnsi="方正仿宋_GBK" w:eastAsia="方正仿宋_GBK" w:cs="方正仿宋_GBK"/>
                      <w:snapToGrid/>
                      <w:color w:val="auto"/>
                      <w:kern w:val="2"/>
                      <w:szCs w:val="21"/>
                      <w:highlight w:val="none"/>
                      <w:lang w:val="en-US" w:eastAsia="zh-CN" w:bidi="ar-SA"/>
                    </w:rPr>
                    <w:t>145度；最大探测深度/材料：7MM直径电缆：100米/弹性高强度纤维管；摄像头像素:大于100W；防护等级：IP68；</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E998">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 xml:space="preserve">12000.00 </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CEDB">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12000</w:t>
                  </w:r>
                </w:p>
              </w:tc>
            </w:tr>
            <w:tr w14:paraId="30F85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BBDD">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超声波明渠流量计</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4E8B">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10</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0284">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超声波液位计，含表头探头，不含巴歇尔槽；盲区-0.3m,量程-0-3m.220V（流量范围：10L/s～10000L/s ）</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B44B">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7000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33A6">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70000</w:t>
                  </w:r>
                </w:p>
              </w:tc>
            </w:tr>
            <w:tr w14:paraId="43BE0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728A">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罗茨风机</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738D">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2</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BBB38">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Q=1m³/min，P=34.3kpa，N=1.5kW，口径50</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744A">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6000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F5B5">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12000</w:t>
                  </w:r>
                </w:p>
              </w:tc>
            </w:tr>
            <w:tr w14:paraId="6E8E3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F799">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罗茨风机</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3063">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1</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3973">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Q=3.8m³/min，P=53.9kpa，N=5.5kW，口径80</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C44A">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9600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72ED">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9600</w:t>
                  </w:r>
                </w:p>
              </w:tc>
            </w:tr>
            <w:tr w14:paraId="5C4B7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3BAD">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罗茨风机</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2CEF">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1</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3E27">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Q=6m³/min，P=49kpa，N=11kW，口径100</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6F45">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11200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57BF">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11200</w:t>
                  </w:r>
                </w:p>
              </w:tc>
            </w:tr>
            <w:tr w14:paraId="1B0E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60A4">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气动隔膜泵</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2F90">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2</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6CD5">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气压2-7kg/cm2，吸程7m，流量8m3/h，口径32</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37CD">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5000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F85C">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10000</w:t>
                  </w:r>
                </w:p>
              </w:tc>
            </w:tr>
            <w:tr w14:paraId="7432C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9EED">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潜水推流器</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6003">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3</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7A8C">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φ=1800mm，N=4kw，52r/min，二桨叶</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7D57">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24530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5153">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73590</w:t>
                  </w:r>
                </w:p>
              </w:tc>
            </w:tr>
            <w:tr w14:paraId="358F5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0AC9">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立式桨叶搅拌机</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F3BB">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6</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5E18">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桨叶直径：254毫米（10英寸）。 输出转速：253 rpm。 电机功率：0.55 kW</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2CC6">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1339</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80E6">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8034</w:t>
                  </w:r>
                </w:p>
              </w:tc>
            </w:tr>
            <w:tr w14:paraId="0B422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25A1">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螺杆泵</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72E3">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2</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52C7">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参数：Q=8m3/h,P=0.6MPA,N=3KW.</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C7C4">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4560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873A">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9120</w:t>
                  </w:r>
                </w:p>
              </w:tc>
            </w:tr>
            <w:tr w14:paraId="15070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BCAF">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立式单级离心泵</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728C">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2</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2E10">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流量=40m3/h,扬程=70m,功率=18.5KW</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2849">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7062</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5F39">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14124</w:t>
                  </w:r>
                </w:p>
              </w:tc>
            </w:tr>
            <w:tr w14:paraId="16D21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1514">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立式单级离心泵配套控制柜</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E799">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1</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C298">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KQK002QB-18.5L，一对一全变频控制，</w:t>
                  </w:r>
                  <w:r>
                    <w:rPr>
                      <w:rFonts w:hint="eastAsia" w:ascii="方正仿宋_GBK" w:hAnsi="方正仿宋_GBK" w:eastAsia="方正仿宋_GBK" w:cs="方正仿宋_GBK"/>
                      <w:snapToGrid/>
                      <w:color w:val="auto"/>
                      <w:kern w:val="2"/>
                      <w:szCs w:val="21"/>
                      <w:highlight w:val="none"/>
                      <w:lang w:val="en-US" w:eastAsia="zh-CN" w:bidi="ar-SA"/>
                    </w:rPr>
                    <w:t>最低</w:t>
                  </w:r>
                  <w:r>
                    <w:rPr>
                      <w:rFonts w:hint="default" w:ascii="方正仿宋_GBK" w:hAnsi="方正仿宋_GBK" w:eastAsia="方正仿宋_GBK" w:cs="方正仿宋_GBK"/>
                      <w:snapToGrid/>
                      <w:color w:val="auto"/>
                      <w:kern w:val="2"/>
                      <w:szCs w:val="21"/>
                      <w:highlight w:val="none"/>
                      <w:lang w:val="en-US" w:eastAsia="zh-CN" w:bidi="ar-SA"/>
                    </w:rPr>
                    <w:t>国产元器件，304不锈钢户外型，配置压力传感器和远程控制接口</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C322">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9865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66B5">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9865</w:t>
                  </w:r>
                </w:p>
              </w:tc>
            </w:tr>
            <w:tr w14:paraId="230C7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D1AF">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移动离心式潜污泵</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90359">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1</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6BCD">
                  <w:pPr>
                    <w:widowControl w:val="0"/>
                    <w:kinsoku/>
                    <w:autoSpaceDE/>
                    <w:autoSpaceDN/>
                    <w:adjustRightInd/>
                    <w:snapToGrid/>
                    <w:spacing w:line="400" w:lineRule="exact"/>
                    <w:jc w:val="both"/>
                    <w:textAlignment w:val="auto"/>
                    <w:rPr>
                      <w:rFonts w:hint="default" w:ascii="方正仿宋_GBK" w:hAnsi="方正仿宋_GBK" w:eastAsia="方正仿宋_GBK" w:cs="方正仿宋_GBK"/>
                      <w:snapToGrid/>
                      <w:color w:val="auto"/>
                      <w:kern w:val="2"/>
                      <w:szCs w:val="21"/>
                      <w:highlight w:val="none"/>
                      <w:lang w:val="en-US" w:eastAsia="zh-CN" w:bidi="ar-SA"/>
                    </w:rPr>
                  </w:pPr>
                  <w:r>
                    <w:rPr>
                      <w:rFonts w:hint="default" w:ascii="方正仿宋_GBK" w:hAnsi="方正仿宋_GBK" w:eastAsia="方正仿宋_GBK" w:cs="方正仿宋_GBK"/>
                      <w:snapToGrid/>
                      <w:color w:val="auto"/>
                      <w:kern w:val="2"/>
                      <w:szCs w:val="21"/>
                      <w:highlight w:val="none"/>
                      <w:lang w:val="en-US" w:eastAsia="zh-CN" w:bidi="ar-SA"/>
                    </w:rPr>
                    <w:t>流量=150m³/h，扬程=14米，功率=11KW</w:t>
                  </w:r>
                  <w:r>
                    <w:rPr>
                      <w:rFonts w:hint="default" w:ascii="方正仿宋_GBK" w:hAnsi="方正仿宋_GBK" w:eastAsia="方正仿宋_GBK" w:cs="方正仿宋_GBK"/>
                      <w:snapToGrid/>
                      <w:color w:val="auto"/>
                      <w:kern w:val="2"/>
                      <w:szCs w:val="21"/>
                      <w:highlight w:val="none"/>
                      <w:lang w:val="en-US" w:eastAsia="zh-CN" w:bidi="ar-SA"/>
                    </w:rPr>
                    <w:br w:type="textWrapping"/>
                  </w:r>
                  <w:r>
                    <w:rPr>
                      <w:rFonts w:hint="default" w:ascii="方正仿宋_GBK" w:hAnsi="方正仿宋_GBK" w:eastAsia="方正仿宋_GBK" w:cs="方正仿宋_GBK"/>
                      <w:snapToGrid/>
                      <w:color w:val="auto"/>
                      <w:kern w:val="2"/>
                      <w:szCs w:val="21"/>
                      <w:highlight w:val="none"/>
                      <w:lang w:val="en-US" w:eastAsia="zh-CN" w:bidi="ar-SA"/>
                    </w:rPr>
                    <w:t>配套110法兰盘。</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6F0E">
                  <w:pPr>
                    <w:keepNext w:val="0"/>
                    <w:keepLines w:val="0"/>
                    <w:pageBreakBefore w:val="0"/>
                    <w:widowControl/>
                    <w:suppressLineNumbers w:val="0"/>
                    <w:wordWrap/>
                    <w:topLinePunct w:val="0"/>
                    <w:bidi w:val="0"/>
                    <w:spacing w:line="240" w:lineRule="auto"/>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8683</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5F94">
                  <w:pPr>
                    <w:keepNext w:val="0"/>
                    <w:keepLines w:val="0"/>
                    <w:widowControl/>
                    <w:suppressLineNumbers w:val="0"/>
                    <w:jc w:val="center"/>
                    <w:textAlignment w:val="center"/>
                    <w:rPr>
                      <w:rFonts w:hint="default"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8683</w:t>
                  </w:r>
                </w:p>
              </w:tc>
            </w:tr>
          </w:tbl>
          <w:p w14:paraId="7778054D">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p>
        </w:tc>
      </w:tr>
      <w:tr w14:paraId="3B8C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72C14CE">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1.3.2</w:t>
            </w:r>
          </w:p>
        </w:tc>
        <w:tc>
          <w:tcPr>
            <w:tcW w:w="1741" w:type="dxa"/>
            <w:vAlign w:val="center"/>
          </w:tcPr>
          <w:p w14:paraId="509DBF09">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color w:val="auto"/>
                <w:szCs w:val="21"/>
                <w:highlight w:val="none"/>
                <w:u w:val="none"/>
                <w:lang w:val="en-US" w:eastAsia="zh-CN"/>
              </w:rPr>
            </w:pPr>
            <w:r>
              <w:rPr>
                <w:rFonts w:hint="eastAsia" w:ascii="方正仿宋_GBK" w:hAnsi="方正仿宋_GBK" w:eastAsia="方正仿宋_GBK" w:cs="方正仿宋_GBK"/>
                <w:color w:val="auto"/>
                <w:szCs w:val="21"/>
                <w:highlight w:val="none"/>
                <w:u w:val="none"/>
                <w:lang w:val="en-US" w:eastAsia="zh-CN"/>
              </w:rPr>
              <w:t>交货时间</w:t>
            </w:r>
          </w:p>
        </w:tc>
        <w:tc>
          <w:tcPr>
            <w:tcW w:w="5500" w:type="dxa"/>
            <w:vAlign w:val="top"/>
          </w:tcPr>
          <w:p w14:paraId="71D7978A">
            <w:pPr>
              <w:widowControl w:val="0"/>
              <w:rPr>
                <w:rFonts w:hint="eastAsia" w:ascii="Times New Roman" w:hAnsi="Times New Roman" w:eastAsia="方正仿宋_GBK" w:cs="Times New Roman"/>
                <w:color w:val="FF0000"/>
                <w:spacing w:val="4"/>
                <w:kern w:val="0"/>
                <w:szCs w:val="32"/>
                <w:shd w:val="clear" w:color="auto" w:fill="FFFFFF"/>
                <w:lang w:val="en-US" w:eastAsia="zh-CN"/>
              </w:rPr>
            </w:pPr>
            <w:r>
              <w:rPr>
                <w:rFonts w:hint="eastAsia" w:ascii="方正仿宋_GBK" w:hAnsi="方正仿宋_GBK" w:eastAsia="方正仿宋_GBK" w:cs="方正仿宋_GBK"/>
                <w:snapToGrid/>
                <w:color w:val="auto"/>
                <w:kern w:val="2"/>
                <w:szCs w:val="21"/>
                <w:highlight w:val="none"/>
                <w:lang w:val="en-US" w:eastAsia="zh-CN" w:bidi="ar-SA"/>
              </w:rPr>
              <w:t>合同正式签订后15日内发货，竞选人在发货前电话通知比选人。</w:t>
            </w:r>
          </w:p>
        </w:tc>
      </w:tr>
      <w:tr w14:paraId="33E3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D61A442">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1.3.3</w:t>
            </w:r>
          </w:p>
        </w:tc>
        <w:tc>
          <w:tcPr>
            <w:tcW w:w="1741" w:type="dxa"/>
            <w:vAlign w:val="center"/>
          </w:tcPr>
          <w:p w14:paraId="5A750C47">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color w:val="auto"/>
                <w:szCs w:val="21"/>
                <w:highlight w:val="none"/>
                <w:u w:val="none"/>
                <w:lang w:val="en-US" w:eastAsia="zh-CN"/>
              </w:rPr>
              <w:t>交货</w:t>
            </w:r>
            <w:r>
              <w:rPr>
                <w:rFonts w:hint="eastAsia" w:ascii="方正仿宋_GBK" w:hAnsi="方正仿宋_GBK" w:eastAsia="方正仿宋_GBK" w:cs="方正仿宋_GBK"/>
                <w:snapToGrid/>
                <w:color w:val="auto"/>
                <w:kern w:val="2"/>
                <w:szCs w:val="21"/>
                <w:highlight w:val="none"/>
                <w:lang w:val="en-US" w:eastAsia="zh-CN" w:bidi="ar-SA"/>
              </w:rPr>
              <w:t>地点</w:t>
            </w:r>
          </w:p>
        </w:tc>
        <w:tc>
          <w:tcPr>
            <w:tcW w:w="5500" w:type="dxa"/>
            <w:vAlign w:val="top"/>
          </w:tcPr>
          <w:p w14:paraId="424E608E">
            <w:pPr>
              <w:widowControl w:val="0"/>
              <w:rPr>
                <w:rFonts w:hint="eastAsia" w:ascii="Times New Roman" w:hAnsi="Times New Roman" w:eastAsia="方正仿宋_GBK" w:cs="Times New Roman"/>
                <w:color w:val="060607"/>
                <w:spacing w:val="4"/>
                <w:kern w:val="0"/>
                <w:szCs w:val="32"/>
                <w:shd w:val="clear" w:color="auto" w:fill="FFFFFF"/>
                <w:lang w:val="en-US" w:eastAsia="zh-CN"/>
              </w:rPr>
            </w:pPr>
            <w:r>
              <w:rPr>
                <w:rFonts w:hint="eastAsia" w:ascii="方正仿宋_GBK" w:hAnsi="方正仿宋_GBK" w:eastAsia="方正仿宋_GBK" w:cs="方正仿宋_GBK"/>
                <w:color w:val="121212"/>
                <w:sz w:val="21"/>
                <w:szCs w:val="21"/>
                <w:lang w:eastAsia="zh-CN"/>
              </w:rPr>
              <w:t>黔江区城东街道新华大道东段168号1509、彭水县高谷镇污水处理厂、</w:t>
            </w:r>
            <w:r>
              <w:rPr>
                <w:rFonts w:hint="eastAsia" w:ascii="方正仿宋_GBK" w:hAnsi="方正仿宋_GBK" w:eastAsia="方正仿宋_GBK" w:cs="方正仿宋_GBK"/>
                <w:color w:val="121212"/>
                <w:sz w:val="21"/>
                <w:szCs w:val="21"/>
                <w:lang w:val="en-US" w:eastAsia="zh-CN"/>
              </w:rPr>
              <w:t>石柱县石柱县职教中心与酉阳龙潭镇落地洞龙潭污水处理厂。</w:t>
            </w:r>
          </w:p>
        </w:tc>
      </w:tr>
      <w:tr w14:paraId="4DC3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E058E2C">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1.3.4</w:t>
            </w:r>
          </w:p>
        </w:tc>
        <w:tc>
          <w:tcPr>
            <w:tcW w:w="1741" w:type="dxa"/>
            <w:vAlign w:val="center"/>
          </w:tcPr>
          <w:p w14:paraId="274BC83D">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技术性能指标</w:t>
            </w:r>
          </w:p>
        </w:tc>
        <w:tc>
          <w:tcPr>
            <w:tcW w:w="5500" w:type="dxa"/>
            <w:vAlign w:val="top"/>
          </w:tcPr>
          <w:p w14:paraId="5F067C2F">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执行国家、地方、行业和重庆环投相关质量标准，供应商在供货时需提供该产品的标准文件、出厂合格证书及计量校准证书（如有）。（一）技术要求：</w:t>
            </w:r>
          </w:p>
          <w:p w14:paraId="17E394EC">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①通用技术要求：</w:t>
            </w:r>
          </w:p>
          <w:p w14:paraId="013AF71E">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 xml:space="preserve">1 </w:t>
            </w:r>
            <w:r>
              <w:rPr>
                <w:rFonts w:hint="default" w:ascii="方正仿宋_GBK" w:hAnsi="方正仿宋_GBK" w:eastAsia="方正仿宋_GBK" w:cs="方正仿宋_GBK"/>
                <w:color w:val="121212"/>
                <w:sz w:val="21"/>
                <w:szCs w:val="21"/>
                <w:lang w:val="en-US" w:eastAsia="zh-CN"/>
              </w:rPr>
              <w:t>设计使用期限</w:t>
            </w:r>
          </w:p>
          <w:p w14:paraId="34E7654A">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设计的材料和设备均应有长的使用期，并应适合于长期的每天二十四小时的连续运转，且只</w:t>
            </w:r>
            <w:r>
              <w:rPr>
                <w:rFonts w:hint="eastAsia" w:ascii="方正仿宋_GBK" w:hAnsi="方正仿宋_GBK" w:eastAsia="方正仿宋_GBK" w:cs="方正仿宋_GBK"/>
                <w:color w:val="121212"/>
                <w:sz w:val="21"/>
                <w:szCs w:val="21"/>
                <w:lang w:val="en-US" w:eastAsia="zh-CN"/>
              </w:rPr>
              <w:t>需</w:t>
            </w:r>
            <w:r>
              <w:rPr>
                <w:rFonts w:hint="default" w:ascii="方正仿宋_GBK" w:hAnsi="方正仿宋_GBK" w:eastAsia="方正仿宋_GBK" w:cs="方正仿宋_GBK"/>
                <w:color w:val="121212"/>
                <w:sz w:val="21"/>
                <w:szCs w:val="21"/>
                <w:lang w:val="en-US" w:eastAsia="zh-CN"/>
              </w:rPr>
              <w:t>进行最少量的维修，可以要求</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对任何部件使用期作出证明，</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可以用相类似设备的使用记录或用广泛的测试记录来证明。</w:t>
            </w:r>
          </w:p>
          <w:p w14:paraId="6F7F92A3">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常规的维护和修理应尽可能的不要求技术高的人员来服务。</w:t>
            </w:r>
          </w:p>
          <w:p w14:paraId="2369C952">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除去易耗件如密封垫料等正常情况就需要较频繁的更换外，凡是须经受磨耗的无论</w:t>
            </w:r>
            <w:r>
              <w:rPr>
                <w:rFonts w:hint="eastAsia" w:ascii="方正仿宋_GBK" w:hAnsi="方正仿宋_GBK" w:eastAsia="方正仿宋_GBK" w:cs="方正仿宋_GBK"/>
                <w:color w:val="121212"/>
                <w:sz w:val="21"/>
                <w:szCs w:val="21"/>
                <w:lang w:val="en-US" w:eastAsia="zh-CN"/>
              </w:rPr>
              <w:t>哪</w:t>
            </w:r>
            <w:r>
              <w:rPr>
                <w:rFonts w:hint="default" w:ascii="方正仿宋_GBK" w:hAnsi="方正仿宋_GBK" w:eastAsia="方正仿宋_GBK" w:cs="方正仿宋_GBK"/>
                <w:color w:val="121212"/>
                <w:sz w:val="21"/>
                <w:szCs w:val="21"/>
                <w:lang w:val="en-US" w:eastAsia="zh-CN"/>
              </w:rPr>
              <w:t>一种的部件，</w:t>
            </w:r>
            <w:r>
              <w:rPr>
                <w:rFonts w:hint="eastAsia" w:ascii="方正仿宋_GBK" w:hAnsi="方正仿宋_GBK" w:eastAsia="方正仿宋_GBK" w:cs="方正仿宋_GBK"/>
                <w:color w:val="121212"/>
                <w:sz w:val="21"/>
                <w:szCs w:val="21"/>
                <w:lang w:val="en-US" w:eastAsia="zh-CN"/>
              </w:rPr>
              <w:t>重新</w:t>
            </w:r>
            <w:r>
              <w:rPr>
                <w:rFonts w:hint="default" w:ascii="方正仿宋_GBK" w:hAnsi="方正仿宋_GBK" w:eastAsia="方正仿宋_GBK" w:cs="方正仿宋_GBK"/>
                <w:color w:val="121212"/>
                <w:sz w:val="21"/>
                <w:szCs w:val="21"/>
                <w:lang w:val="en-US" w:eastAsia="zh-CN"/>
              </w:rPr>
              <w:t>使用到需予以更换，或需予以修理时的连续正常运转的使用寿命不应少于三年，而当须进行总的拆卸来更换部件时，则该部件的使用寿命应不少于十年。所有的齿轮与轴承的设计使用寿命为100,000小时，其额定值至少为工作负荷的125%。</w:t>
            </w:r>
          </w:p>
          <w:p w14:paraId="24B30812">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w:t>
            </w:r>
            <w:r>
              <w:rPr>
                <w:rFonts w:hint="default" w:ascii="方正仿宋_GBK" w:hAnsi="方正仿宋_GBK" w:eastAsia="方正仿宋_GBK" w:cs="方正仿宋_GBK"/>
                <w:color w:val="121212"/>
                <w:sz w:val="21"/>
                <w:szCs w:val="21"/>
                <w:lang w:val="en-US" w:eastAsia="zh-CN"/>
              </w:rPr>
              <w:t xml:space="preserve"> 材料</w:t>
            </w:r>
          </w:p>
          <w:p w14:paraId="012CC75A">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工程中所使用的材料必须是最适合该工作的，并应是新的</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一流的商业质量</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无缺陷且应选择使用寿命长</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维护要求低的材料。</w:t>
            </w:r>
          </w:p>
          <w:p w14:paraId="6599294C">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w:t>
            </w:r>
            <w:r>
              <w:rPr>
                <w:rFonts w:hint="default" w:ascii="方正仿宋_GBK" w:hAnsi="方正仿宋_GBK" w:eastAsia="方正仿宋_GBK" w:cs="方正仿宋_GBK"/>
                <w:color w:val="121212"/>
                <w:sz w:val="21"/>
                <w:szCs w:val="21"/>
                <w:lang w:val="en-US" w:eastAsia="zh-CN"/>
              </w:rPr>
              <w:t xml:space="preserve"> 浇铸与锻造</w:t>
            </w:r>
          </w:p>
          <w:p w14:paraId="0A61486E">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所有的机加工面</w:t>
            </w:r>
            <w:r>
              <w:rPr>
                <w:rFonts w:hint="eastAsia" w:ascii="方正仿宋_GBK" w:hAnsi="方正仿宋_GBK" w:eastAsia="方正仿宋_GBK" w:cs="方正仿宋_GBK"/>
                <w:color w:val="121212"/>
                <w:sz w:val="21"/>
                <w:szCs w:val="21"/>
                <w:lang w:val="en-US" w:eastAsia="zh-CN"/>
              </w:rPr>
              <w:t>都</w:t>
            </w:r>
            <w:r>
              <w:rPr>
                <w:rFonts w:hint="default" w:ascii="方正仿宋_GBK" w:hAnsi="方正仿宋_GBK" w:eastAsia="方正仿宋_GBK" w:cs="方正仿宋_GBK"/>
                <w:color w:val="121212"/>
                <w:sz w:val="21"/>
                <w:szCs w:val="21"/>
                <w:lang w:val="en-US" w:eastAsia="zh-CN"/>
              </w:rPr>
              <w:t>是没有瑕疵的。浇铸件应是洁净的、准确的和轮廓鲜明的。所有的形状与尺寸的变化处理都应做成渐变的，带合适的圆角与倒角。</w:t>
            </w:r>
          </w:p>
          <w:p w14:paraId="182590BE">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可锻铸铁不能用于任何需要承受工作应力的地方，在那些地方</w:t>
            </w:r>
            <w:r>
              <w:rPr>
                <w:rFonts w:hint="eastAsia" w:ascii="方正仿宋_GBK" w:hAnsi="方正仿宋_GBK" w:eastAsia="方正仿宋_GBK" w:cs="方正仿宋_GBK"/>
                <w:color w:val="121212"/>
                <w:sz w:val="21"/>
                <w:szCs w:val="21"/>
                <w:lang w:val="en-US" w:eastAsia="zh-CN"/>
              </w:rPr>
              <w:t>应</w:t>
            </w:r>
            <w:r>
              <w:rPr>
                <w:rFonts w:hint="default" w:ascii="方正仿宋_GBK" w:hAnsi="方正仿宋_GBK" w:eastAsia="方正仿宋_GBK" w:cs="方正仿宋_GBK"/>
                <w:color w:val="121212"/>
                <w:sz w:val="21"/>
                <w:szCs w:val="21"/>
                <w:lang w:val="en-US" w:eastAsia="zh-CN"/>
              </w:rPr>
              <w:t>使用铸钢。</w:t>
            </w:r>
          </w:p>
          <w:p w14:paraId="0040DB40">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根据规定，所有的浇铸件都应仔细地嵌填和揩擦，直到它具有一个良好的平滑表面，用以接受最后一道油漆工序。</w:t>
            </w:r>
          </w:p>
          <w:p w14:paraId="0EE57D7A">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w:t>
            </w:r>
            <w:r>
              <w:rPr>
                <w:rFonts w:hint="default" w:ascii="方正仿宋_GBK" w:hAnsi="方正仿宋_GBK" w:eastAsia="方正仿宋_GBK" w:cs="方正仿宋_GBK"/>
                <w:color w:val="121212"/>
                <w:sz w:val="21"/>
                <w:szCs w:val="21"/>
                <w:lang w:val="en-US" w:eastAsia="zh-CN"/>
              </w:rPr>
              <w:t xml:space="preserve"> 齿轮传动与齿轮箱</w:t>
            </w:r>
          </w:p>
          <w:p w14:paraId="1A40DC24">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 xml:space="preserve">4.1 </w:t>
            </w:r>
            <w:r>
              <w:rPr>
                <w:rFonts w:hint="default" w:ascii="方正仿宋_GBK" w:hAnsi="方正仿宋_GBK" w:eastAsia="方正仿宋_GBK" w:cs="方正仿宋_GBK"/>
                <w:color w:val="121212"/>
                <w:sz w:val="21"/>
                <w:szCs w:val="21"/>
                <w:lang w:val="en-US" w:eastAsia="zh-CN"/>
              </w:rPr>
              <w:t>所有的齿轮传动均应符合ISO、DIN的标准，所有的齿轮传动除非另有批准</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均应是全封闭式的。齿轮箱应按以下规定来设计和制造。</w:t>
            </w:r>
          </w:p>
          <w:p w14:paraId="4C534D93">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（1）齿轮箱的所有接缝处须密封可靠</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以防止水与灰尘的进入和润滑剂的外流。</w:t>
            </w:r>
          </w:p>
          <w:p w14:paraId="6E6F4122">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（2）齿轮传动部件应便于检查和进行维修。</w:t>
            </w:r>
          </w:p>
          <w:p w14:paraId="028D6DA3">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（3）齿轮箱运行中温度上升不能影响设备的正常使用。</w:t>
            </w:r>
          </w:p>
          <w:p w14:paraId="7874057B">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4.2</w:t>
            </w:r>
            <w:r>
              <w:rPr>
                <w:rFonts w:hint="default" w:ascii="方正仿宋_GBK" w:hAnsi="方正仿宋_GBK" w:eastAsia="方正仿宋_GBK" w:cs="方正仿宋_GBK"/>
                <w:color w:val="121212"/>
                <w:sz w:val="21"/>
                <w:szCs w:val="21"/>
                <w:lang w:val="en-US" w:eastAsia="zh-CN"/>
              </w:rPr>
              <w:t>齿轮箱应具有：</w:t>
            </w:r>
          </w:p>
          <w:p w14:paraId="5CF12B3A">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（1）刻度清楚的观察玻璃或量油尺，以显示流动的或静止的油位；</w:t>
            </w:r>
          </w:p>
          <w:p w14:paraId="397D5078">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（2）装有便于操作的排放旋塞或塞阀</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并与排放装置联结；</w:t>
            </w:r>
          </w:p>
          <w:p w14:paraId="104E5137">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（3）一个带有用螺栓拧紧盖的检查孔，加油的接头与通气塞，如果需要的话，溢流与排放的接管应予以延伸以避免排出的油溢出。</w:t>
            </w:r>
          </w:p>
          <w:p w14:paraId="5DB04593">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（4）为了吊装必须设置手柄或吊环。</w:t>
            </w:r>
          </w:p>
          <w:p w14:paraId="15CDA739">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 xml:space="preserve">4.3 </w:t>
            </w:r>
            <w:r>
              <w:rPr>
                <w:rFonts w:hint="default" w:ascii="方正仿宋_GBK" w:hAnsi="方正仿宋_GBK" w:eastAsia="方正仿宋_GBK" w:cs="方正仿宋_GBK"/>
                <w:color w:val="121212"/>
                <w:sz w:val="21"/>
                <w:szCs w:val="21"/>
                <w:lang w:val="en-US" w:eastAsia="zh-CN"/>
              </w:rPr>
              <w:t>在传动装置的调整工作完成后，每个齿轮箱应在它的底板上用圆锥销定位。</w:t>
            </w:r>
          </w:p>
          <w:p w14:paraId="2AD9DCFB">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5</w:t>
            </w:r>
            <w:r>
              <w:rPr>
                <w:rFonts w:hint="default" w:ascii="方正仿宋_GBK" w:hAnsi="方正仿宋_GBK" w:eastAsia="方正仿宋_GBK" w:cs="方正仿宋_GBK"/>
                <w:color w:val="121212"/>
                <w:sz w:val="21"/>
                <w:szCs w:val="21"/>
                <w:lang w:val="en-US" w:eastAsia="zh-CN"/>
              </w:rPr>
              <w:t xml:space="preserve"> 焊接</w:t>
            </w:r>
          </w:p>
          <w:p w14:paraId="37E2F073">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如果焊接点需承受高应力时，则</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应在加工制作开始之前，把那些焊接的详图以及所建议焊接的准备工作提供给买方。</w:t>
            </w:r>
          </w:p>
          <w:p w14:paraId="3DCC7403">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在进行机械加工之前，焊接件均应予以消除应力。</w:t>
            </w:r>
          </w:p>
          <w:p w14:paraId="315C9E47">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6 平衡</w:t>
            </w:r>
          </w:p>
          <w:p w14:paraId="091061B9">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所有的旋转部分均应作适当的静态与动态平衡，以使在正常全速运转</w:t>
            </w:r>
            <w:r>
              <w:rPr>
                <w:rFonts w:hint="eastAsia" w:ascii="方正仿宋_GBK" w:hAnsi="方正仿宋_GBK" w:eastAsia="方正仿宋_GBK" w:cs="方正仿宋_GBK"/>
                <w:color w:val="121212"/>
                <w:sz w:val="21"/>
                <w:szCs w:val="21"/>
                <w:lang w:val="en-US" w:eastAsia="zh-CN"/>
              </w:rPr>
              <w:t>以及</w:t>
            </w:r>
            <w:r>
              <w:rPr>
                <w:rFonts w:hint="default" w:ascii="方正仿宋_GBK" w:hAnsi="方正仿宋_GBK" w:eastAsia="方正仿宋_GBK" w:cs="方正仿宋_GBK"/>
                <w:color w:val="121212"/>
                <w:sz w:val="21"/>
                <w:szCs w:val="21"/>
                <w:lang w:val="en-US" w:eastAsia="zh-CN"/>
              </w:rPr>
              <w:t>在最险峻的负荷条件时，均不应在设备中</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车间中或在周围的附近处，出现过分的振动。</w:t>
            </w:r>
          </w:p>
          <w:p w14:paraId="3D5A3E01">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所有旋转部分应精细加工，以保证机组的动态平衡。</w:t>
            </w:r>
          </w:p>
          <w:p w14:paraId="69B7CA41">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按产品技术标准验收，</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应负责更换部件，以使买方代表满意。同时，与之有关的一切费用皆由</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自己支付。</w:t>
            </w:r>
          </w:p>
          <w:p w14:paraId="04A88DD8">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对于大型设备及其附件，应保证不会在正常操作速度下引起共振。</w:t>
            </w:r>
          </w:p>
          <w:p w14:paraId="304F39FA">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7 互换性</w:t>
            </w:r>
          </w:p>
          <w:p w14:paraId="0D0D0C5D">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设备的所有类似组件总体上应具备良好的互换性，其零部件也应如此。</w:t>
            </w:r>
          </w:p>
          <w:p w14:paraId="4CD70A8F">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所供应的设备类型必须在可行范围内</w:t>
            </w:r>
            <w:r>
              <w:rPr>
                <w:rFonts w:hint="eastAsia" w:ascii="方正仿宋_GBK" w:hAnsi="方正仿宋_GBK" w:eastAsia="方正仿宋_GBK" w:cs="方正仿宋_GBK"/>
                <w:color w:val="121212"/>
                <w:sz w:val="21"/>
                <w:szCs w:val="21"/>
                <w:lang w:val="en-US" w:eastAsia="zh-CN"/>
              </w:rPr>
              <w:t>适用</w:t>
            </w:r>
            <w:r>
              <w:rPr>
                <w:rFonts w:hint="default" w:ascii="方正仿宋_GBK" w:hAnsi="方正仿宋_GBK" w:eastAsia="方正仿宋_GBK" w:cs="方正仿宋_GBK"/>
                <w:color w:val="121212"/>
                <w:sz w:val="21"/>
                <w:szCs w:val="21"/>
                <w:lang w:val="en-US" w:eastAsia="zh-CN"/>
              </w:rPr>
              <w:t>于标准化，零部件具备最大的互换性。</w:t>
            </w:r>
          </w:p>
          <w:p w14:paraId="602D040D">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所有设备构件的尺寸单位一般应采用公制单位。</w:t>
            </w:r>
          </w:p>
          <w:p w14:paraId="178C0EEE">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8 噪音控制</w:t>
            </w:r>
          </w:p>
          <w:p w14:paraId="13EB38E4">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应注意保证所提供的设备在运转时无异常噪声，并满足环保验收要求。</w:t>
            </w:r>
          </w:p>
          <w:p w14:paraId="61C82F3B">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9 润滑和清洗</w:t>
            </w:r>
          </w:p>
          <w:p w14:paraId="12E4E4AF">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为了进行定期的检查与清洗，以及活动部件加注润滑油，应</w:t>
            </w:r>
            <w:r>
              <w:rPr>
                <w:rFonts w:hint="eastAsia" w:ascii="方正仿宋_GBK" w:hAnsi="方正仿宋_GBK" w:eastAsia="方正仿宋_GBK" w:cs="方正仿宋_GBK"/>
                <w:color w:val="121212"/>
                <w:sz w:val="21"/>
                <w:szCs w:val="21"/>
                <w:lang w:val="en-US" w:eastAsia="zh-CN"/>
              </w:rPr>
              <w:t>做</w:t>
            </w:r>
            <w:r>
              <w:rPr>
                <w:rFonts w:hint="default" w:ascii="方正仿宋_GBK" w:hAnsi="方正仿宋_GBK" w:eastAsia="方正仿宋_GBK" w:cs="方正仿宋_GBK"/>
                <w:color w:val="121212"/>
                <w:sz w:val="21"/>
                <w:szCs w:val="21"/>
                <w:lang w:val="en-US" w:eastAsia="zh-CN"/>
              </w:rPr>
              <w:t>适当的布局安排。</w:t>
            </w:r>
          </w:p>
          <w:p w14:paraId="4759A921">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应尽可能安排使整个设备中需加注润滑脂或油的</w:t>
            </w:r>
            <w:r>
              <w:rPr>
                <w:rFonts w:hint="eastAsia" w:ascii="方正仿宋_GBK" w:hAnsi="方正仿宋_GBK" w:eastAsia="方正仿宋_GBK" w:cs="方正仿宋_GBK"/>
                <w:color w:val="121212"/>
                <w:sz w:val="21"/>
                <w:szCs w:val="21"/>
                <w:lang w:val="en-US" w:eastAsia="zh-CN"/>
              </w:rPr>
              <w:t>那些</w:t>
            </w:r>
            <w:r>
              <w:rPr>
                <w:rFonts w:hint="default" w:ascii="方正仿宋_GBK" w:hAnsi="方正仿宋_GBK" w:eastAsia="方正仿宋_GBK" w:cs="方正仿宋_GBK"/>
                <w:color w:val="121212"/>
                <w:sz w:val="21"/>
                <w:szCs w:val="21"/>
                <w:lang w:val="en-US" w:eastAsia="zh-CN"/>
              </w:rPr>
              <w:t>部分仅使用同一个等级或类型的润滑剂。</w:t>
            </w:r>
          </w:p>
          <w:p w14:paraId="41415F1B">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需要周期性加注润滑脂的机械装置的所有轴承座，均应具有经批准类型的加油嘴，如果需要的话，可将它们通过延伸管引出到一个便于到达的位置上，用于加润滑脂的必需的手动压注机或加油泵应与工具和备件同时提供。</w:t>
            </w:r>
          </w:p>
          <w:p w14:paraId="4237F8CD">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应提供必需的润滑剂，用于设备在发送前的测试，以及在现场完全交付使用时使用。</w:t>
            </w:r>
          </w:p>
          <w:p w14:paraId="39804E13">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应用适当的金属盛器来装盛足够用24个月的，适用于装置不同部件的</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推荐等级的各种润滑油及脂，提供并运至买方的仓库。</w:t>
            </w:r>
            <w:r>
              <w:rPr>
                <w:rFonts w:hint="eastAsia" w:ascii="方正仿宋_GBK" w:hAnsi="方正仿宋_GBK" w:eastAsia="方正仿宋_GBK" w:cs="方正仿宋_GBK"/>
                <w:color w:val="121212"/>
                <w:sz w:val="21"/>
                <w:szCs w:val="21"/>
                <w:lang w:val="en-US" w:eastAsia="zh-CN"/>
              </w:rPr>
              <w:t>哪些</w:t>
            </w:r>
            <w:r>
              <w:rPr>
                <w:rFonts w:hint="default" w:ascii="方正仿宋_GBK" w:hAnsi="方正仿宋_GBK" w:eastAsia="方正仿宋_GBK" w:cs="方正仿宋_GBK"/>
                <w:color w:val="121212"/>
                <w:sz w:val="21"/>
                <w:szCs w:val="21"/>
                <w:lang w:val="en-US" w:eastAsia="zh-CN"/>
              </w:rPr>
              <w:t>润滑剂应列入备件和工具的一览表内。</w:t>
            </w:r>
          </w:p>
          <w:p w14:paraId="212D8958">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10 铭牌、标志与电路原理牌</w:t>
            </w:r>
          </w:p>
          <w:p w14:paraId="48B85C21">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每台机器和所有的其它设备均应具有一个金属的铭牌板，用认可的方式固定，以中文或英文把制造商的名称、编号以及全部工作特性或输出功率、速度、压力、制造日期等清楚地表明在上面。</w:t>
            </w:r>
          </w:p>
          <w:p w14:paraId="389CFBD7">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当所提供的设备的厂名牌可能设在一个不方便的部位时，如浸没式泵，那么</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应提供另外一个把详细情况综合在一起的厂铭牌，并应装订在邻近于该设备的控制板处。</w:t>
            </w:r>
          </w:p>
          <w:p w14:paraId="0A69EFFB">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所有的标志，电路原理牌等应以中文和英文雕刻，中文应刻在英文的上方。</w:t>
            </w:r>
          </w:p>
          <w:p w14:paraId="24A7B963">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所有的绝缘器，起动装置，开关或保险熔丝以及其它电气设备应清楚地加以标明，以示该单元的功能，而在单相设备的情况时，则表明该设备是连接到那一相的。</w:t>
            </w:r>
          </w:p>
          <w:p w14:paraId="73F4201C">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内部设备的标志应在白底上刻以黑色的正楷大写体，并应以螺栓把它固定在电气设备的外表面上。</w:t>
            </w:r>
          </w:p>
          <w:p w14:paraId="5E0104C4">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不受气候影响的开关盘，室外绝缘器等应如上述一样固定雕刻好的标志。</w:t>
            </w:r>
          </w:p>
          <w:p w14:paraId="6879B9A8">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对在保险熔丝器板上的电路原理标牌应在该熔丝器板上，如上述所规定的那样表明。每个电路均应加以签定和识别。</w:t>
            </w:r>
          </w:p>
          <w:p w14:paraId="64B128C5">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在警告标志上的字样应以“危险”二字开始，并以红底白字用中英文书写。</w:t>
            </w:r>
          </w:p>
          <w:p w14:paraId="7EF84F89">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11</w:t>
            </w:r>
            <w:r>
              <w:rPr>
                <w:rFonts w:hint="default" w:ascii="方正仿宋_GBK" w:hAnsi="方正仿宋_GBK" w:eastAsia="方正仿宋_GBK" w:cs="方正仿宋_GBK"/>
                <w:color w:val="121212"/>
                <w:sz w:val="21"/>
                <w:szCs w:val="21"/>
                <w:lang w:val="en-US" w:eastAsia="zh-CN"/>
              </w:rPr>
              <w:t xml:space="preserve"> 螺母、螺钉、垫圈和螺栓</w:t>
            </w:r>
          </w:p>
          <w:p w14:paraId="498DEA68">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粗制螺栓，螺钉和螺母应符合ISO225、ISO272、ISO885、ISO888和ISO4759/1。粗制六角螺栓，螺钉和螺母应符合ISO272，ISO4759/1 8.8级。垫圈应符合ISO/R887，并使用在所有螺母，六角螺栓和螺钉之下。</w:t>
            </w:r>
          </w:p>
          <w:p w14:paraId="36FB2B1C">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所有的螺栓，螺钉，螺母，垫圈应为奥氏体不锈钢。</w:t>
            </w:r>
          </w:p>
          <w:p w14:paraId="38FA45B8">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螺栓长度在螺母旋紧后应露头2～3牙。</w:t>
            </w:r>
          </w:p>
          <w:p w14:paraId="57FEC6D6">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12</w:t>
            </w:r>
            <w:r>
              <w:rPr>
                <w:rFonts w:hint="default" w:ascii="方正仿宋_GBK" w:hAnsi="方正仿宋_GBK" w:eastAsia="方正仿宋_GBK" w:cs="方正仿宋_GBK"/>
                <w:color w:val="121212"/>
                <w:sz w:val="21"/>
                <w:szCs w:val="21"/>
                <w:lang w:val="en-US" w:eastAsia="zh-CN"/>
              </w:rPr>
              <w:t xml:space="preserve"> 备件</w:t>
            </w:r>
          </w:p>
          <w:p w14:paraId="2E206F02">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备件应包括零配件、专用工具、润滑剂等运行所必需的物品。</w:t>
            </w:r>
          </w:p>
          <w:p w14:paraId="5E5C15F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应当提供本合同规定的所有备件，这些备件应满足在买方工程验收后设备的连续运行</w:t>
            </w:r>
            <w:r>
              <w:rPr>
                <w:rFonts w:hint="eastAsia" w:ascii="方正仿宋_GBK" w:hAnsi="方正仿宋_GBK" w:eastAsia="方正仿宋_GBK" w:cs="方正仿宋_GBK"/>
                <w:color w:val="121212"/>
                <w:sz w:val="21"/>
                <w:szCs w:val="21"/>
                <w:lang w:val="en-US" w:eastAsia="zh-CN"/>
              </w:rPr>
              <w:t>12</w:t>
            </w:r>
            <w:r>
              <w:rPr>
                <w:rFonts w:hint="default" w:ascii="方正仿宋_GBK" w:hAnsi="方正仿宋_GBK" w:eastAsia="方正仿宋_GBK" w:cs="方正仿宋_GBK"/>
                <w:color w:val="121212"/>
                <w:sz w:val="21"/>
                <w:szCs w:val="21"/>
                <w:lang w:val="en-US" w:eastAsia="zh-CN"/>
              </w:rPr>
              <w:t>个月之用。</w:t>
            </w:r>
          </w:p>
          <w:p w14:paraId="2F131381">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②.</w:t>
            </w:r>
            <w:r>
              <w:rPr>
                <w:rFonts w:hint="eastAsia" w:ascii="方正仿宋_GBK" w:hAnsi="方正仿宋_GBK" w:eastAsia="方正仿宋_GBK" w:cs="方正仿宋_GBK"/>
                <w:color w:val="121212"/>
                <w:sz w:val="21"/>
                <w:szCs w:val="21"/>
                <w:lang w:eastAsia="zh-CN"/>
              </w:rPr>
              <w:t>便携式仪器</w:t>
            </w:r>
          </w:p>
          <w:p w14:paraId="4CDA157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应满足连续作业</w:t>
            </w:r>
            <w:r>
              <w:rPr>
                <w:rFonts w:hint="eastAsia" w:ascii="方正仿宋_GBK" w:hAnsi="方正仿宋_GBK" w:eastAsia="方正仿宋_GBK" w:cs="方正仿宋_GBK"/>
                <w:color w:val="121212"/>
                <w:sz w:val="21"/>
                <w:szCs w:val="21"/>
                <w:lang w:val="en-US" w:eastAsia="zh-CN"/>
              </w:rPr>
              <w:t>8</w:t>
            </w:r>
            <w:r>
              <w:rPr>
                <w:rFonts w:hint="eastAsia" w:ascii="方正仿宋_GBK" w:hAnsi="方正仿宋_GBK" w:eastAsia="方正仿宋_GBK" w:cs="方正仿宋_GBK"/>
                <w:color w:val="121212"/>
                <w:sz w:val="21"/>
                <w:szCs w:val="21"/>
                <w:lang w:eastAsia="zh-CN"/>
              </w:rPr>
              <w:t>小时以上的电池续航能力，并配备充电器或可更换电池。</w:t>
            </w:r>
          </w:p>
          <w:p w14:paraId="0D0A3CF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仪器应具备数据存储及导出功能（USB或蓝牙），便于现场记录及后期分析。</w:t>
            </w:r>
          </w:p>
          <w:p w14:paraId="7E70393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仪器外壳应有防摔、防尘、防水设计（至少IP</w:t>
            </w:r>
            <w:r>
              <w:rPr>
                <w:rFonts w:hint="eastAsia" w:ascii="方正仿宋_GBK" w:hAnsi="方正仿宋_GBK" w:eastAsia="方正仿宋_GBK" w:cs="方正仿宋_GBK"/>
                <w:color w:val="121212"/>
                <w:sz w:val="21"/>
                <w:szCs w:val="21"/>
                <w:lang w:val="en-US" w:eastAsia="zh-CN"/>
              </w:rPr>
              <w:t>54</w:t>
            </w:r>
            <w:r>
              <w:rPr>
                <w:rFonts w:hint="eastAsia" w:ascii="方正仿宋_GBK" w:hAnsi="方正仿宋_GBK" w:eastAsia="方正仿宋_GBK" w:cs="方正仿宋_GBK"/>
                <w:color w:val="121212"/>
                <w:sz w:val="21"/>
                <w:szCs w:val="21"/>
                <w:lang w:eastAsia="zh-CN"/>
              </w:rPr>
              <w:t>等级）。</w:t>
            </w:r>
          </w:p>
          <w:p w14:paraId="4469C6BA">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气体检测仪应具备防爆认证，并提供有效期内的防爆合格证。</w:t>
            </w:r>
          </w:p>
          <w:p w14:paraId="2224D391">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所有仪器应提供中文操作手册及快速使用指南。</w:t>
            </w:r>
          </w:p>
          <w:p w14:paraId="61F2884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质保期内提供一次免费校准服务。</w:t>
            </w:r>
          </w:p>
          <w:p w14:paraId="47E96AF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管道内窥镜应满足连续作业要求，整机设计使用寿命不低于</w:t>
            </w:r>
            <w:r>
              <w:rPr>
                <w:rFonts w:hint="eastAsia" w:ascii="方正仿宋_GBK" w:hAnsi="方正仿宋_GBK" w:eastAsia="方正仿宋_GBK" w:cs="方正仿宋_GBK"/>
                <w:color w:val="121212"/>
                <w:sz w:val="21"/>
                <w:szCs w:val="21"/>
                <w:lang w:val="en-US" w:eastAsia="zh-CN"/>
              </w:rPr>
              <w:t>8</w:t>
            </w:r>
            <w:r>
              <w:rPr>
                <w:rFonts w:hint="eastAsia" w:ascii="方正仿宋_GBK" w:hAnsi="方正仿宋_GBK" w:eastAsia="方正仿宋_GBK" w:cs="方正仿宋_GBK"/>
                <w:color w:val="121212"/>
                <w:sz w:val="21"/>
                <w:szCs w:val="21"/>
                <w:lang w:eastAsia="zh-CN"/>
              </w:rPr>
              <w:t>年。</w:t>
            </w:r>
          </w:p>
          <w:p w14:paraId="308B2E2A">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成像系统：采用高清CMOS图像传感器，像素不低于100万像素，主机显示屏分辨率不低于1024×768（4英寸以上液晶屏），支持拍照和录像功能，图像格式支持JPEG/MP4，具备图像冻结、回放及缩放功能。镜头视场角≥100°，景深范围5mm至无穷远，可清晰识别0.1mm级表面缺陷（如轻微腐蚀、焊缝凸起等）-5-1。</w:t>
            </w:r>
          </w:p>
          <w:p w14:paraId="2F0D178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探头规格：探头直径不大于10mm，可适配DN50及以上管径管道检测。插入管材质采用不锈钢编织网或钨丝编织材质，具有柔韧性、耐磨、耐腐蚀性能-1-。插入管长度由供应商根据采购方实际需求提供（一般不低于10米），设备应具备推索式或手持式检测线结构。</w:t>
            </w:r>
          </w:p>
          <w:p w14:paraId="3F328CD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照明系统：探头前端应配备高亮度LED照明灯，亮度可调（不少于4级亮度调节），确保在黑暗管道内能够清晰成像-1-21。</w:t>
            </w:r>
          </w:p>
          <w:p w14:paraId="2A56441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防护等级：探头及插入管部分防护等级不低于IP67，主机防护等级不低于IP54，适应潮湿、多尘环境作业-1-5。</w:t>
            </w:r>
          </w:p>
          <w:p w14:paraId="4D62042B">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工作环境：设备应在-20℃至70℃环境下正常工作，存储环境温度-20℃至70℃，相对湿度RH≤95%-1-。</w:t>
            </w:r>
          </w:p>
          <w:p w14:paraId="262FF485">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存储与数据导出：配备SD卡或同等存储介质，存储容量不小于16GB，支持USB数据导出接口-1。</w:t>
            </w:r>
          </w:p>
          <w:p w14:paraId="17C0581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电源：内置可充电锂电池供电，连续工作时间不少于4小时，支持外接电源供电。</w:t>
            </w:r>
          </w:p>
          <w:p w14:paraId="779E2E2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测量功能（推荐） ：可选配激光测距或标尺测量功能，能够对管道内部缺陷（裂缝长度、宽度等）进行定量测量，测量误差≤5%。</w:t>
            </w:r>
          </w:p>
          <w:p w14:paraId="6A896F5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操作与控制：主机应采用一体化手持设计，配备高清显示屏，操作界面支持中文菜单。具备拍照、录像、回放功能，支持实时图像显示。</w:t>
            </w:r>
          </w:p>
          <w:p w14:paraId="76EDD4E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辅助功能：设备应配备足够的运载装置或推索机构，以适应不同直径和走向的管道检测需求-21。检测线具有柔韧性，能够适应管道弯曲，探头转向能力应满足基本检测需求。</w:t>
            </w:r>
          </w:p>
          <w:p w14:paraId="6F836BA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③</w:t>
            </w:r>
            <w:r>
              <w:rPr>
                <w:rFonts w:hint="eastAsia" w:ascii="方正仿宋_GBK" w:hAnsi="方正仿宋_GBK" w:eastAsia="方正仿宋_GBK" w:cs="方正仿宋_GBK"/>
                <w:color w:val="121212"/>
                <w:sz w:val="21"/>
                <w:szCs w:val="21"/>
                <w:lang w:eastAsia="zh-CN"/>
              </w:rPr>
              <w:t>罗茨鼓风机</w:t>
            </w:r>
          </w:p>
          <w:p w14:paraId="296855C8">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可以连续24小时运行，低转速设计。鼓风机在设计条件下运行平稳，整机设计使用寿命为30年，</w:t>
            </w:r>
            <w:r>
              <w:rPr>
                <w:rFonts w:hint="eastAsia" w:ascii="方正仿宋_GBK" w:hAnsi="方正仿宋_GBK" w:eastAsia="方正仿宋_GBK" w:cs="方正仿宋_GBK"/>
                <w:color w:val="121212"/>
                <w:sz w:val="21"/>
                <w:szCs w:val="21"/>
                <w:lang w:val="en-US" w:eastAsia="zh-CN"/>
              </w:rPr>
              <w:t>提供ROSH认证</w:t>
            </w:r>
            <w:r>
              <w:rPr>
                <w:rFonts w:hint="eastAsia" w:ascii="方正仿宋_GBK" w:hAnsi="方正仿宋_GBK" w:eastAsia="方正仿宋_GBK" w:cs="方正仿宋_GBK"/>
                <w:color w:val="121212"/>
                <w:sz w:val="21"/>
                <w:szCs w:val="21"/>
                <w:lang w:eastAsia="zh-CN"/>
              </w:rPr>
              <w:t>。</w:t>
            </w:r>
          </w:p>
          <w:p w14:paraId="6E795EDB">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鼓风机的设计需考虑气流同步性以便两台或多台鼓风机能并联运行。在并联运行条件下，每台鼓风机需要并使每台鼓风机出口压力的安全余度保持相同，任何单台鼓风机的启动和停车不会影响其他鼓风机的气量变化。</w:t>
            </w:r>
          </w:p>
          <w:p w14:paraId="58239BE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1.</w:t>
            </w:r>
            <w:r>
              <w:rPr>
                <w:rFonts w:hint="eastAsia" w:ascii="方正仿宋_GBK" w:hAnsi="方正仿宋_GBK" w:eastAsia="方正仿宋_GBK" w:cs="方正仿宋_GBK"/>
                <w:color w:val="121212"/>
                <w:sz w:val="21"/>
                <w:szCs w:val="21"/>
                <w:lang w:eastAsia="zh-CN"/>
              </w:rPr>
              <w:t>油封：在油封座处采用橡胶骨架油封。</w:t>
            </w:r>
          </w:p>
          <w:p w14:paraId="4A715855">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壳体：高强度HT2</w:t>
            </w:r>
            <w:r>
              <w:rPr>
                <w:rFonts w:hint="eastAsia" w:ascii="方正仿宋_GBK" w:hAnsi="方正仿宋_GBK" w:eastAsia="方正仿宋_GBK" w:cs="方正仿宋_GBK"/>
                <w:color w:val="121212"/>
                <w:sz w:val="21"/>
                <w:szCs w:val="21"/>
                <w:lang w:val="en-US" w:eastAsia="zh-CN"/>
              </w:rPr>
              <w:t>5</w:t>
            </w:r>
            <w:r>
              <w:rPr>
                <w:rFonts w:hint="eastAsia" w:ascii="方正仿宋_GBK" w:hAnsi="方正仿宋_GBK" w:eastAsia="方正仿宋_GBK" w:cs="方正仿宋_GBK"/>
                <w:color w:val="121212"/>
                <w:sz w:val="21"/>
                <w:szCs w:val="21"/>
                <w:lang w:eastAsia="zh-CN"/>
              </w:rPr>
              <w:t>0及以上材料整体铸造壳体，确保转子不会偏离，提供稳定的气量。</w:t>
            </w:r>
          </w:p>
          <w:p w14:paraId="7E32AFD8">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轴封：采用V型密封。</w:t>
            </w:r>
          </w:p>
          <w:p w14:paraId="0F7D8CB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传动齿轮：20CrMnTi及以上材质斜齿轮，提供稳定、低噪声的精确传动。</w:t>
            </w:r>
          </w:p>
          <w:p w14:paraId="3D36A56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2.</w:t>
            </w:r>
            <w:r>
              <w:rPr>
                <w:rFonts w:hint="eastAsia" w:ascii="方正仿宋_GBK" w:hAnsi="方正仿宋_GBK" w:eastAsia="方正仿宋_GBK" w:cs="方正仿宋_GBK"/>
                <w:color w:val="121212"/>
                <w:sz w:val="21"/>
                <w:szCs w:val="21"/>
                <w:lang w:eastAsia="zh-CN"/>
              </w:rPr>
              <w:t>转子：扭叶转子，持续进风，经时效处理、精密加工和研磨以达到应有的尺寸，不需要涂层处理，不存在涂层脱落的可能。这意味着没有间隙值的改变，机器的效率和吸入流量就不会随时间推移，涂层脱落，间隙改变而改变。轴具有足够的尺寸，以承受各种运行条件下连接运行所产生的全部荷载。扭叶转子组装前，动平衡试验的精度应达到2.5级，提供制造厂承诺书。</w:t>
            </w:r>
          </w:p>
          <w:p w14:paraId="54A38A8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3.</w:t>
            </w:r>
            <w:r>
              <w:rPr>
                <w:rFonts w:hint="eastAsia" w:ascii="方正仿宋_GBK" w:hAnsi="方正仿宋_GBK" w:eastAsia="方正仿宋_GBK" w:cs="方正仿宋_GBK"/>
                <w:color w:val="121212"/>
                <w:sz w:val="21"/>
                <w:szCs w:val="21"/>
                <w:lang w:eastAsia="zh-CN"/>
              </w:rPr>
              <w:t>轴承：齿轮是罗茨鼓风机的最重要零件之一，20CrMnTi材质。</w:t>
            </w:r>
          </w:p>
          <w:p w14:paraId="36781AE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4.</w:t>
            </w:r>
            <w:r>
              <w:rPr>
                <w:rFonts w:hint="eastAsia" w:ascii="方正仿宋_GBK" w:hAnsi="方正仿宋_GBK" w:eastAsia="方正仿宋_GBK" w:cs="方正仿宋_GBK"/>
                <w:color w:val="121212"/>
                <w:sz w:val="21"/>
                <w:szCs w:val="21"/>
                <w:lang w:eastAsia="zh-CN"/>
              </w:rPr>
              <w:t>入口过滤消声器：入口消音器采用阻性消声器，主要消除鼓风机进口气流噪声，由外筒、内筒，法兰等件组成，内外筒之间放入离心玻璃棉吸声材料。</w:t>
            </w:r>
          </w:p>
          <w:p w14:paraId="2354DD3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5.</w:t>
            </w:r>
            <w:r>
              <w:rPr>
                <w:rFonts w:hint="eastAsia" w:ascii="方正仿宋_GBK" w:hAnsi="方正仿宋_GBK" w:eastAsia="方正仿宋_GBK" w:cs="方正仿宋_GBK"/>
                <w:color w:val="121212"/>
                <w:sz w:val="21"/>
                <w:szCs w:val="21"/>
                <w:lang w:eastAsia="zh-CN"/>
              </w:rPr>
              <w:t>止回阀：在出风管路应提供一个法兰连接的空气止回阀，阀体为铸铁或更佳材质制造，其构造应适合于空气流体的使用及操作。</w:t>
            </w:r>
          </w:p>
          <w:p w14:paraId="7BCFC06C">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耐温≥120℃，是用以防止停机时系统高压气体倒流，使鼓风机转子反转，发生故障，同时防止系统灰尘倒流。鼓风机在额定流量通过阀门时，其压力损失小。</w:t>
            </w:r>
          </w:p>
          <w:p w14:paraId="322769D4">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7.</w:t>
            </w:r>
            <w:r>
              <w:rPr>
                <w:rFonts w:hint="eastAsia" w:ascii="方正仿宋_GBK" w:hAnsi="方正仿宋_GBK" w:eastAsia="方正仿宋_GBK" w:cs="方正仿宋_GBK"/>
                <w:color w:val="121212"/>
                <w:sz w:val="21"/>
                <w:szCs w:val="21"/>
                <w:lang w:eastAsia="zh-CN"/>
              </w:rPr>
              <w:t>出口消声器：出口消音器主要消除鼓风机出口气流噪声，消声频带宽。</w:t>
            </w:r>
          </w:p>
          <w:p w14:paraId="0D3118CB">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8.</w:t>
            </w:r>
            <w:r>
              <w:rPr>
                <w:rFonts w:hint="eastAsia" w:ascii="方正仿宋_GBK" w:hAnsi="方正仿宋_GBK" w:eastAsia="方正仿宋_GBK" w:cs="方正仿宋_GBK"/>
                <w:color w:val="121212"/>
                <w:sz w:val="21"/>
                <w:szCs w:val="21"/>
                <w:lang w:eastAsia="zh-CN"/>
              </w:rPr>
              <w:t>出口弹性接头：耐温≥120℃。安装在风机出口处。</w:t>
            </w:r>
          </w:p>
          <w:p w14:paraId="63ED476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9.泄压阀：</w:t>
            </w:r>
            <w:r>
              <w:rPr>
                <w:rFonts w:hint="eastAsia" w:ascii="方正仿宋_GBK" w:hAnsi="方正仿宋_GBK" w:eastAsia="方正仿宋_GBK" w:cs="方正仿宋_GBK"/>
                <w:color w:val="121212"/>
                <w:sz w:val="21"/>
                <w:szCs w:val="21"/>
                <w:lang w:eastAsia="zh-CN"/>
              </w:rPr>
              <w:t>泄压阀是系统上的一个保险装置，其开启压力范围为</w:t>
            </w:r>
            <w:bookmarkStart w:id="66" w:name="OLE_LINK1"/>
            <w:bookmarkStart w:id="67" w:name="OLE_LINK2"/>
            <w:r>
              <w:rPr>
                <w:rFonts w:hint="eastAsia" w:ascii="方正仿宋_GBK" w:hAnsi="方正仿宋_GBK" w:eastAsia="方正仿宋_GBK" w:cs="方正仿宋_GBK"/>
                <w:color w:val="121212"/>
                <w:sz w:val="21"/>
                <w:szCs w:val="21"/>
                <w:lang w:eastAsia="zh-CN"/>
              </w:rPr>
              <w:t>0~1kg/cm2</w:t>
            </w:r>
            <w:bookmarkEnd w:id="66"/>
            <w:bookmarkEnd w:id="67"/>
            <w:r>
              <w:rPr>
                <w:rFonts w:hint="eastAsia" w:ascii="方正仿宋_GBK" w:hAnsi="方正仿宋_GBK" w:eastAsia="方正仿宋_GBK" w:cs="方正仿宋_GBK"/>
                <w:color w:val="121212"/>
                <w:sz w:val="21"/>
                <w:szCs w:val="21"/>
                <w:lang w:eastAsia="zh-CN"/>
              </w:rPr>
              <w:t>,当系统工作状况异常，阻力高于额定值时，泄压阀开启，将气体从安全阀排出，防止风机和电机过载。泄压阀主要用于防止管路堵塞，负载增加引起的风机过载。如泄压阀启动后，长时间不恢复闭合，则需要停机，待系统故障排除后，再开机工作。</w:t>
            </w:r>
          </w:p>
          <w:p w14:paraId="03AEC0EB">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10.</w:t>
            </w:r>
            <w:r>
              <w:rPr>
                <w:rFonts w:hint="eastAsia" w:ascii="方正仿宋_GBK" w:hAnsi="方正仿宋_GBK" w:eastAsia="方正仿宋_GBK" w:cs="方正仿宋_GBK"/>
                <w:color w:val="121212"/>
                <w:sz w:val="21"/>
                <w:szCs w:val="21"/>
                <w:lang w:eastAsia="zh-CN"/>
              </w:rPr>
              <w:t>电机：电机功率大于最高温度工况下风机的轴功率。电源：380V/3phases/50Hz,2poles,工作方式：24小时连续运转。</w:t>
            </w:r>
          </w:p>
          <w:p w14:paraId="214F9B01">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11.</w:t>
            </w:r>
            <w:r>
              <w:rPr>
                <w:rFonts w:hint="eastAsia" w:ascii="方正仿宋_GBK" w:hAnsi="方正仿宋_GBK" w:eastAsia="方正仿宋_GBK" w:cs="方正仿宋_GBK"/>
                <w:color w:val="121212"/>
                <w:sz w:val="21"/>
                <w:szCs w:val="21"/>
                <w:lang w:eastAsia="zh-CN"/>
              </w:rPr>
              <w:t>电气与控制：电机应根据IEC标准制造，电机的防护等级为IP55，绝缘等级F级，温升等级B级，电源为380V+/-10%，3相，50Hz+/-2%，能效IE3等级。</w:t>
            </w:r>
          </w:p>
          <w:p w14:paraId="31FFC883">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④超声波明渠流量计</w:t>
            </w:r>
          </w:p>
          <w:p w14:paraId="09E85D7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 设计使用期限</w:t>
            </w:r>
          </w:p>
          <w:p w14:paraId="09B8E15D">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的设计与材料选用应确保长期运行的可靠性，适应连续24小时不间断工作，且维护需求最小化。卖方应提供关键部件（如换能器、电子单元等）的使用寿命证明，可通过类似设备的运行记录或测试数据予以佐证。</w:t>
            </w:r>
          </w:p>
          <w:p w14:paraId="00BB31D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常规维护应简便易行，避免依赖高技能人员。除易损件（如密封件）外，所有磨损部件自首次使用至需更换或修理的连续正常运行时间应不少于三年，若需整体拆解更换，则该部件使用寿命应不少于十年。所有电子元件及传感器部分的设计寿命应不低于100,000小时，额定性能至少满足工作负荷的125%。</w:t>
            </w:r>
          </w:p>
          <w:p w14:paraId="48409702">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 材料</w:t>
            </w:r>
          </w:p>
          <w:p w14:paraId="15EC496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所用材料应适用于超声波明渠流量计的工作环境（如温度、压力、介质特性），并应为全新、优质、无缺陷的一流商业等级，优先选用耐腐蚀、寿命长、维护需求低的材料。</w:t>
            </w:r>
          </w:p>
          <w:p w14:paraId="74731FA1">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 浇铸与锻造（适用于壳体、法兰等结构件）</w:t>
            </w:r>
          </w:p>
          <w:p w14:paraId="3FCE9AEE">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所有机加工表面应无瑕疵。浇铸件应洁净、尺寸精确、轮廓清晰，形状与壁厚变化处应平滑过渡，设有适当圆角与内外倒角。</w:t>
            </w:r>
          </w:p>
          <w:p w14:paraId="198B1279">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可锻铸铁不得用于承受工作应力的部位，需承受应力的结构件应采用铸钢或其他适用材料。所有浇铸件表面应平整光滑，便于涂装防腐涂层。</w:t>
            </w:r>
          </w:p>
          <w:p w14:paraId="7B10638E">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 电子单元与换能器</w:t>
            </w:r>
          </w:p>
          <w:p w14:paraId="1FCC86BE">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（1）超声波明渠流量计的电子单元与换能器应符合国际标准（如ISO、IEC等），换能器应具备良好的信号稳定性和抗干扰能力。电子单元应封装严密，防止水汽、灰尘进入。</w:t>
            </w:r>
          </w:p>
          <w:p w14:paraId="42D0941B">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（2）电子单元应便于安装、调试与维护，具备自诊断功能，支持现场或远程通讯（如RS485、HART、Modbus等）。</w:t>
            </w:r>
          </w:p>
          <w:p w14:paraId="25EA894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（3）换能器与管道的连接应密封可靠，防止泄漏，且应便于拆卸与更换。</w:t>
            </w:r>
          </w:p>
          <w:p w14:paraId="4EB1D19C">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4.1 超声波明渠流量计应具备：</w:t>
            </w:r>
          </w:p>
          <w:p w14:paraId="369F782D">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（1）清晰可读的液晶显示屏，显示瞬时流量、累计流量、流速等工作参数；</w:t>
            </w:r>
          </w:p>
          <w:p w14:paraId="3E1C174D">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（2）便于操作的按键或触控界面，支持参数设置与校准；</w:t>
            </w:r>
          </w:p>
          <w:p w14:paraId="7C1EDA46">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（3）具备故障报警输出及数据记录功能，便于维护与追溯；</w:t>
            </w:r>
          </w:p>
          <w:p w14:paraId="1A225E2D">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（4）外壳应设有吊装孔或吊环，便于搬运与安装。</w:t>
            </w:r>
          </w:p>
          <w:p w14:paraId="07505931">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5 焊接（适用于插入式或法兰式结构）</w:t>
            </w:r>
          </w:p>
          <w:p w14:paraId="7EDB242B">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若焊接部位承受工作压力或应力，卖方应在制造前提交焊接工艺详图及准备方案供买方确认。</w:t>
            </w:r>
          </w:p>
          <w:p w14:paraId="180ECFDD">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所有焊接件在机械加工前应进行应力消除处理，确保结构稳定与长期可靠性。</w:t>
            </w:r>
          </w:p>
          <w:p w14:paraId="764A3C15">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6.精度与性能要求</w:t>
            </w:r>
          </w:p>
          <w:p w14:paraId="62A5B618">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超声波明渠流量计的精度等级应符合下列要求：</w:t>
            </w:r>
          </w:p>
          <w:p w14:paraId="106CC7E8">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（1）在标定流量范围内，测量误差不应超过±0.5%（对于液体）或±1.0%（对于气体），具体精度等级由买方指定；</w:t>
            </w:r>
          </w:p>
          <w:p w14:paraId="3783307C">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（2）重复性误差不应超过精度等级规定值的1/2；</w:t>
            </w:r>
          </w:p>
          <w:p w14:paraId="6444726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（3）流速范围应满足0.3m/s至10m/s（液体）或1m/s至30m/s（气体），且在此范围内保持稳定测量；</w:t>
            </w:r>
          </w:p>
          <w:p w14:paraId="0321137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（4）应具备低流速检测能力，最小可测流速不高于0.1m/s（液体）。</w:t>
            </w:r>
          </w:p>
          <w:p w14:paraId="49F256F2">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所有精度指标应在卖方认可的标定装置上完成验证，并提供第三方或出厂标定证书。</w:t>
            </w:r>
          </w:p>
          <w:p w14:paraId="732F346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7.安装条件</w:t>
            </w:r>
          </w:p>
          <w:p w14:paraId="5598A0B5">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超声波明渠流量计的安装应满足以下要求：</w:t>
            </w:r>
          </w:p>
          <w:p w14:paraId="424920F2">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（1）若现场条件受限，卖方应提供相应的流场修正方案，并确保测量精度不受显著影响；</w:t>
            </w:r>
          </w:p>
          <w:p w14:paraId="734B0BC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（2）插入式换能器应提供可靠的安装座与密封结构，适用于带压安装与拆卸；</w:t>
            </w:r>
          </w:p>
          <w:p w14:paraId="0D5E222B">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8.环境适应性与防护</w:t>
            </w:r>
          </w:p>
          <w:p w14:paraId="63CFC503">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超声波明渠流量计应适应以下现场环境条件：</w:t>
            </w:r>
          </w:p>
          <w:p w14:paraId="4D1F4BB9">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（1）工作环境温度：-20℃～+60℃（户外安装时，应适应-30℃～+70℃）；</w:t>
            </w:r>
          </w:p>
          <w:p w14:paraId="3E2A0CA7">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（2）相对湿度：≤95%（无凝结）；</w:t>
            </w:r>
          </w:p>
          <w:p w14:paraId="1080D08F">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（3）防护等级：电子单元外壳不低于IP65，换能器与接线盒不低于IP68（适用于浸水或埋地安装）；</w:t>
            </w:r>
          </w:p>
          <w:p w14:paraId="5F79F948">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（4）若用于易燃易爆场所，设备应具备相应的防爆等级（如ExdIIBT4或ExibIIBT4），并提供国家认可的防爆合格证。</w:t>
            </w:r>
          </w:p>
          <w:p w14:paraId="61A2BA02">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9.电气与通信接口</w:t>
            </w:r>
          </w:p>
          <w:p w14:paraId="546A4E2B">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超声波明渠流量计的电气与通信系统应满足：</w:t>
            </w:r>
          </w:p>
          <w:p w14:paraId="50FBBA2B">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（1）供电电源：支持220VAC或24VDC，允许±10%波动；</w:t>
            </w:r>
          </w:p>
          <w:p w14:paraId="0269A123">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（2）输出信号：至少具备4-20mA模拟量输出、脉冲输出及RS485通讯接口，支持ModbusRTU协议；</w:t>
            </w:r>
          </w:p>
          <w:p w14:paraId="15497785">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（3）可选配HART、Profibus、BACnet等协议，具体由买方确认；</w:t>
            </w:r>
          </w:p>
          <w:p w14:paraId="5FA03AF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（4）具备数据记录功能，可存储不少于1年的流量数据及事件日志，支持通过通信接口导出；</w:t>
            </w:r>
          </w:p>
          <w:p w14:paraId="19EEB195">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（5）具备断电保护功能，参数设置与累计数据在断电后不丢失。</w:t>
            </w:r>
          </w:p>
          <w:p w14:paraId="3751AC9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10.显示与操作</w:t>
            </w:r>
          </w:p>
          <w:p w14:paraId="247A260F">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超声波明渠流量计应配备直观的操作界面：</w:t>
            </w:r>
          </w:p>
          <w:p w14:paraId="061553FB">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（1）LCD或TFT显示屏，支持中英文显示；</w:t>
            </w:r>
          </w:p>
          <w:p w14:paraId="1078DCFC">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（2）可实时显示瞬时流量、累计流量、流速、信号强度、声速等关键参数；</w:t>
            </w:r>
          </w:p>
          <w:p w14:paraId="21D9A3FC">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（3）具备故障自诊断功能，显示故障代码及简要说明；</w:t>
            </w:r>
          </w:p>
          <w:p w14:paraId="53B1694D">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（4）支持现场按键或红外遥控操作，便于防爆环境下安全操作。</w:t>
            </w:r>
          </w:p>
          <w:p w14:paraId="3D4B792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（二）参考标准：</w:t>
            </w:r>
          </w:p>
          <w:p w14:paraId="19907B2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GB50231-98</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机械设备安装工程施工及验收通用规范</w:t>
            </w:r>
          </w:p>
          <w:p w14:paraId="496DD7D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GB50334－2002</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城市污水处理厂工程质量验收规范</w:t>
            </w:r>
          </w:p>
          <w:p w14:paraId="265CF6A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29529-2013</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泵的噪声测量与评价方法</w:t>
            </w:r>
          </w:p>
          <w:p w14:paraId="21F9C2F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29531-2013</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泵的振动测量与评价方法</w:t>
            </w:r>
          </w:p>
          <w:p w14:paraId="35199D49">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3214-2007</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水泵流量的测定方法</w:t>
            </w:r>
          </w:p>
          <w:p w14:paraId="5E36BD1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GB/T5656-2008</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 xml:space="preserve">    离心泵技术条件（Ⅱ类）</w:t>
            </w:r>
          </w:p>
          <w:p w14:paraId="68C96B6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 xml:space="preserve">GB/T5657-2013  </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离心泵技术条件（Ⅲ类）</w:t>
            </w:r>
          </w:p>
          <w:p w14:paraId="3CD9AF8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GB/T13007-2011</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离心泵效率</w:t>
            </w:r>
          </w:p>
          <w:p w14:paraId="7D99B24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GB/T3235-2008</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通风机基本形式、尺寸参数及性能曲线</w:t>
            </w:r>
          </w:p>
          <w:p w14:paraId="3E2F7D0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JB/T6445-2005 工业通风机叶轮超速试验</w:t>
            </w:r>
          </w:p>
          <w:p w14:paraId="50C9FAE9">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JB/T8523-1997</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防爆通风机技术条件</w:t>
            </w:r>
          </w:p>
          <w:p w14:paraId="1AD508D2">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JB/T6886-2010</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通风机涂装技术条件</w:t>
            </w:r>
          </w:p>
          <w:p w14:paraId="46EBA97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GB/T19074-2003</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工业通风机 通风机的机械安全装置 护罩</w:t>
            </w:r>
          </w:p>
          <w:p w14:paraId="210C979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12241—2005</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安全阀一般要求</w:t>
            </w:r>
          </w:p>
          <w:p w14:paraId="1EAB0ACB">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GB9112~9124-2010</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钢制管法兰</w:t>
            </w:r>
          </w:p>
          <w:p w14:paraId="10C3470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HG20592～20635-2009</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钢制管法兰、垫片、紧固件</w:t>
            </w:r>
          </w:p>
          <w:p w14:paraId="65BCD73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699-2015</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优质碳素结构钢</w:t>
            </w:r>
          </w:p>
          <w:p w14:paraId="7B02D18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700-2006</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碳素结构钢</w:t>
            </w:r>
          </w:p>
          <w:p w14:paraId="5E0D3CD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JJG 291-2018 《溶解氧测定仪检定规程》</w:t>
            </w:r>
          </w:p>
          <w:p w14:paraId="763BB84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JJG 1030-2007 《超声流量计检定规程》</w:t>
            </w:r>
          </w:p>
          <w:p w14:paraId="7D0E1791">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 12358-2006 《作业场所环境气体检测报警仪通用技术要求》</w:t>
            </w:r>
          </w:p>
          <w:p w14:paraId="4D06406A">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27699-2023 钢质管道内检测技术规范（国家标准，适用于钢质管道的内部检测）</w:t>
            </w:r>
          </w:p>
          <w:p w14:paraId="47A766EB">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4208 外壳防护等级（IP代码） （用于验证设备防护等级要求）</w:t>
            </w:r>
          </w:p>
          <w:p w14:paraId="0C929F79">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 4793.1 测量、控制和实验室用电气设备的安全要求 第1部分：通用要求（电气安全标准）</w:t>
            </w:r>
          </w:p>
          <w:p w14:paraId="437532F9">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（三）质保期：</w:t>
            </w:r>
          </w:p>
          <w:p w14:paraId="65E816BD">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eastAsia="zh-CN"/>
              </w:rPr>
              <w:t>设备验收合格之日起 12个月。</w:t>
            </w:r>
          </w:p>
        </w:tc>
      </w:tr>
      <w:tr w14:paraId="635A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79545A0">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1.4.1</w:t>
            </w:r>
          </w:p>
        </w:tc>
        <w:tc>
          <w:tcPr>
            <w:tcW w:w="1741" w:type="dxa"/>
            <w:vAlign w:val="center"/>
          </w:tcPr>
          <w:p w14:paraId="047999D7">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竞选人资质条件、能力、信誉</w:t>
            </w:r>
          </w:p>
        </w:tc>
        <w:tc>
          <w:tcPr>
            <w:tcW w:w="5500" w:type="dxa"/>
            <w:vAlign w:val="top"/>
          </w:tcPr>
          <w:p w14:paraId="4B29239F">
            <w:pPr>
              <w:widowControl w:val="0"/>
              <w:spacing w:line="240" w:lineRule="auto"/>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lang w:val="en-US" w:eastAsia="zh-CN"/>
              </w:rPr>
              <w:t>1.</w:t>
            </w:r>
            <w:r>
              <w:rPr>
                <w:rFonts w:hint="eastAsia" w:ascii="方正仿宋_GBK" w:hAnsi="方正仿宋_GBK" w:eastAsia="方正仿宋_GBK" w:cs="方正仿宋_GBK"/>
                <w:color w:val="auto"/>
                <w:highlight w:val="none"/>
              </w:rPr>
              <w:t>必须是按照国家法律法规设立的，在中国注册的，具有独立法人资格的企业</w:t>
            </w:r>
            <w:r>
              <w:rPr>
                <w:rFonts w:hint="eastAsia" w:ascii="方正仿宋_GBK" w:hAnsi="方正仿宋_GBK" w:eastAsia="方正仿宋_GBK" w:cs="方正仿宋_GBK"/>
                <w:color w:val="auto"/>
                <w:highlight w:val="none"/>
                <w:lang w:eastAsia="zh-CN"/>
              </w:rPr>
              <w:t>；</w:t>
            </w:r>
          </w:p>
          <w:p w14:paraId="67A08B74">
            <w:pPr>
              <w:widowControl w:val="0"/>
              <w:spacing w:line="240" w:lineRule="auto"/>
              <w:rPr>
                <w:rFonts w:hint="eastAsia" w:ascii="方正仿宋_GBK" w:hAnsi="方正仿宋_GBK" w:eastAsia="方正仿宋_GBK" w:cs="方正仿宋_GBK"/>
                <w:color w:val="auto"/>
                <w:highlight w:val="none"/>
                <w:lang w:eastAsia="zh-CN"/>
              </w:rPr>
            </w:pPr>
            <w:r>
              <w:rPr>
                <w:rFonts w:hint="eastAsia" w:ascii="方正仿宋_GBK" w:hAnsi="方正仿宋_GBK" w:eastAsia="方正仿宋_GBK" w:cs="方正仿宋_GBK"/>
                <w:color w:val="auto"/>
                <w:highlight w:val="none"/>
                <w:lang w:val="en-US" w:eastAsia="zh-CN"/>
              </w:rPr>
              <w:t>2.</w:t>
            </w:r>
            <w:r>
              <w:rPr>
                <w:rFonts w:hint="eastAsia" w:ascii="方正仿宋_GBK" w:hAnsi="方正仿宋_GBK" w:eastAsia="方正仿宋_GBK" w:cs="方正仿宋_GBK"/>
                <w:color w:val="auto"/>
                <w:highlight w:val="none"/>
                <w:lang w:eastAsia="zh-CN"/>
              </w:rPr>
              <w:t>具有独立承担民事责任的能力；</w:t>
            </w:r>
          </w:p>
          <w:p w14:paraId="5694E824">
            <w:pPr>
              <w:widowControl w:val="0"/>
              <w:spacing w:line="240" w:lineRule="auto"/>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3.具有良好的商业信誉和健全的财务会计制度；</w:t>
            </w:r>
          </w:p>
          <w:p w14:paraId="183C2809">
            <w:pPr>
              <w:widowControl w:val="0"/>
              <w:spacing w:line="240" w:lineRule="auto"/>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4.具有履行合同所必须的各项资质认证及专业技术能力；</w:t>
            </w:r>
          </w:p>
          <w:p w14:paraId="0BE9781C">
            <w:pPr>
              <w:widowControl w:val="0"/>
              <w:spacing w:line="240" w:lineRule="auto"/>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5.具有依法缴纳税收和社会保障资金的良好记录；</w:t>
            </w:r>
          </w:p>
          <w:p w14:paraId="567EFBD4">
            <w:pPr>
              <w:widowControl w:val="0"/>
              <w:spacing w:line="240" w:lineRule="auto"/>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highlight w:val="none"/>
                <w:lang w:val="en-US" w:eastAsia="zh-CN"/>
              </w:rPr>
              <w:t>6.参加本次比选活动前三年内，在经营活动中没有重大违法记录；</w:t>
            </w:r>
          </w:p>
          <w:p w14:paraId="3AAD1C3C">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bCs/>
                <w:szCs w:val="32"/>
                <w:u w:val="none"/>
                <w:lang w:val="en-US" w:eastAsia="zh-CN"/>
              </w:rPr>
              <w:t>7.法律、行政法规规定的其他条件。</w:t>
            </w:r>
          </w:p>
        </w:tc>
      </w:tr>
      <w:tr w14:paraId="5B54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5E126B9">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1.4.2</w:t>
            </w:r>
          </w:p>
        </w:tc>
        <w:tc>
          <w:tcPr>
            <w:tcW w:w="1741" w:type="dxa"/>
            <w:vAlign w:val="center"/>
          </w:tcPr>
          <w:p w14:paraId="44A9825E">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是否接受联合体参加比选</w:t>
            </w:r>
          </w:p>
        </w:tc>
        <w:tc>
          <w:tcPr>
            <w:tcW w:w="5500" w:type="dxa"/>
            <w:vAlign w:val="top"/>
          </w:tcPr>
          <w:p w14:paraId="6CAD2C9D">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☑不接受</w:t>
            </w:r>
          </w:p>
          <w:p w14:paraId="6EE42AEC">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□接受，应满足下列要求：</w:t>
            </w:r>
          </w:p>
        </w:tc>
      </w:tr>
      <w:tr w14:paraId="0740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EFC2CBF">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1.4.3</w:t>
            </w:r>
          </w:p>
        </w:tc>
        <w:tc>
          <w:tcPr>
            <w:tcW w:w="1741" w:type="dxa"/>
            <w:vAlign w:val="center"/>
          </w:tcPr>
          <w:p w14:paraId="7C511677">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竞选人不得存在的其他情形</w:t>
            </w:r>
          </w:p>
        </w:tc>
        <w:tc>
          <w:tcPr>
            <w:tcW w:w="5500" w:type="dxa"/>
            <w:vAlign w:val="top"/>
          </w:tcPr>
          <w:p w14:paraId="1CE5A0C7">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w:t>
            </w:r>
          </w:p>
        </w:tc>
      </w:tr>
      <w:tr w14:paraId="774F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9E281B0">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1.9.1</w:t>
            </w:r>
          </w:p>
        </w:tc>
        <w:tc>
          <w:tcPr>
            <w:tcW w:w="1741" w:type="dxa"/>
            <w:vAlign w:val="center"/>
          </w:tcPr>
          <w:p w14:paraId="70F154B2">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竞选预备会</w:t>
            </w:r>
          </w:p>
        </w:tc>
        <w:tc>
          <w:tcPr>
            <w:tcW w:w="5500" w:type="dxa"/>
            <w:vAlign w:val="top"/>
          </w:tcPr>
          <w:p w14:paraId="2ED94EBF">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☑不召开</w:t>
            </w:r>
          </w:p>
          <w:p w14:paraId="42102760">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 xml:space="preserve">□召开，召开时间：   </w:t>
            </w:r>
          </w:p>
          <w:p w14:paraId="55CE8E7E">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 xml:space="preserve">召开地点：        </w:t>
            </w:r>
          </w:p>
        </w:tc>
      </w:tr>
      <w:tr w14:paraId="2E0B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Merge w:val="restart"/>
            <w:vAlign w:val="center"/>
          </w:tcPr>
          <w:p w14:paraId="34C81642">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1.9.2</w:t>
            </w:r>
          </w:p>
        </w:tc>
        <w:tc>
          <w:tcPr>
            <w:tcW w:w="1741" w:type="dxa"/>
            <w:vMerge w:val="restart"/>
            <w:vAlign w:val="center"/>
          </w:tcPr>
          <w:p w14:paraId="25542634">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竞选人在竞选预备会前提出问题</w:t>
            </w:r>
          </w:p>
        </w:tc>
        <w:tc>
          <w:tcPr>
            <w:tcW w:w="5500" w:type="dxa"/>
            <w:vAlign w:val="top"/>
          </w:tcPr>
          <w:p w14:paraId="27235C94">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时间：/</w:t>
            </w:r>
          </w:p>
        </w:tc>
      </w:tr>
      <w:tr w14:paraId="6DA4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Merge w:val="continue"/>
            <w:vAlign w:val="top"/>
          </w:tcPr>
          <w:p w14:paraId="005DAF78">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p>
        </w:tc>
        <w:tc>
          <w:tcPr>
            <w:tcW w:w="1741" w:type="dxa"/>
            <w:vMerge w:val="continue"/>
            <w:vAlign w:val="top"/>
          </w:tcPr>
          <w:p w14:paraId="78E11EE7">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p>
        </w:tc>
        <w:tc>
          <w:tcPr>
            <w:tcW w:w="5500" w:type="dxa"/>
            <w:vAlign w:val="top"/>
          </w:tcPr>
          <w:p w14:paraId="131F3D21">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形式：/</w:t>
            </w:r>
          </w:p>
        </w:tc>
      </w:tr>
      <w:tr w14:paraId="3978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11E56F3">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1.9.3</w:t>
            </w:r>
          </w:p>
        </w:tc>
        <w:tc>
          <w:tcPr>
            <w:tcW w:w="1741" w:type="dxa"/>
            <w:vAlign w:val="center"/>
          </w:tcPr>
          <w:p w14:paraId="1ABC2BE4">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比选文件澄清发出的形式</w:t>
            </w:r>
          </w:p>
        </w:tc>
        <w:tc>
          <w:tcPr>
            <w:tcW w:w="5500" w:type="dxa"/>
            <w:vAlign w:val="top"/>
          </w:tcPr>
          <w:p w14:paraId="645485E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重庆环保投资集团有限公司官网（http://www.cqht.cn/）发布。</w:t>
            </w:r>
          </w:p>
        </w:tc>
      </w:tr>
      <w:tr w14:paraId="0D66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848977D">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1.10.1</w:t>
            </w:r>
          </w:p>
        </w:tc>
        <w:tc>
          <w:tcPr>
            <w:tcW w:w="1741" w:type="dxa"/>
            <w:vAlign w:val="center"/>
          </w:tcPr>
          <w:p w14:paraId="78ED583B">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分包</w:t>
            </w:r>
          </w:p>
        </w:tc>
        <w:tc>
          <w:tcPr>
            <w:tcW w:w="5500" w:type="dxa"/>
            <w:vAlign w:val="top"/>
          </w:tcPr>
          <w:p w14:paraId="2AD93405">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☑不允许</w:t>
            </w:r>
          </w:p>
          <w:p w14:paraId="4A0A9B7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□允许，分包内容要求：</w:t>
            </w:r>
          </w:p>
          <w:p w14:paraId="4D6D008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分包金额要求：</w:t>
            </w:r>
          </w:p>
          <w:p w14:paraId="777E4F0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对分包人的资质要求：</w:t>
            </w:r>
          </w:p>
        </w:tc>
      </w:tr>
      <w:tr w14:paraId="2DC3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top"/>
          </w:tcPr>
          <w:p w14:paraId="317C22BA">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1.11.1</w:t>
            </w:r>
          </w:p>
        </w:tc>
        <w:tc>
          <w:tcPr>
            <w:tcW w:w="1741" w:type="dxa"/>
            <w:vAlign w:val="top"/>
          </w:tcPr>
          <w:p w14:paraId="1E9518AD">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实质性要求和条件</w:t>
            </w:r>
          </w:p>
        </w:tc>
        <w:tc>
          <w:tcPr>
            <w:tcW w:w="5500" w:type="dxa"/>
            <w:vAlign w:val="top"/>
          </w:tcPr>
          <w:p w14:paraId="0DB911DA">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w:t>
            </w:r>
          </w:p>
        </w:tc>
      </w:tr>
      <w:tr w14:paraId="6191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top"/>
          </w:tcPr>
          <w:p w14:paraId="60DD08FB">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1.11.3</w:t>
            </w:r>
          </w:p>
        </w:tc>
        <w:tc>
          <w:tcPr>
            <w:tcW w:w="1741" w:type="dxa"/>
            <w:vAlign w:val="top"/>
          </w:tcPr>
          <w:p w14:paraId="2CA2E4A5">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其他可以被接受的技术支持资料</w:t>
            </w:r>
          </w:p>
        </w:tc>
        <w:tc>
          <w:tcPr>
            <w:tcW w:w="5500" w:type="dxa"/>
            <w:vAlign w:val="top"/>
          </w:tcPr>
          <w:p w14:paraId="7303E50E">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w:t>
            </w:r>
          </w:p>
        </w:tc>
      </w:tr>
      <w:tr w14:paraId="13C5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462C7C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1.11.4</w:t>
            </w:r>
          </w:p>
        </w:tc>
        <w:tc>
          <w:tcPr>
            <w:tcW w:w="1741" w:type="dxa"/>
            <w:vAlign w:val="center"/>
          </w:tcPr>
          <w:p w14:paraId="5708BEF4">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偏差</w:t>
            </w:r>
          </w:p>
        </w:tc>
        <w:tc>
          <w:tcPr>
            <w:tcW w:w="5500" w:type="dxa"/>
            <w:vAlign w:val="top"/>
          </w:tcPr>
          <w:p w14:paraId="2F6661B0">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☑不允许</w:t>
            </w:r>
          </w:p>
          <w:p w14:paraId="6B0BEE39">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□允许，偏差范围：</w:t>
            </w:r>
          </w:p>
          <w:p w14:paraId="3EC450B2">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最高项数：</w:t>
            </w:r>
          </w:p>
        </w:tc>
      </w:tr>
      <w:tr w14:paraId="5C61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top"/>
          </w:tcPr>
          <w:p w14:paraId="470725E3">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2.1</w:t>
            </w:r>
          </w:p>
        </w:tc>
        <w:tc>
          <w:tcPr>
            <w:tcW w:w="1741" w:type="dxa"/>
            <w:vAlign w:val="top"/>
          </w:tcPr>
          <w:p w14:paraId="464B1191">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构成比选文件的其他资料</w:t>
            </w:r>
          </w:p>
        </w:tc>
        <w:tc>
          <w:tcPr>
            <w:tcW w:w="5500" w:type="dxa"/>
            <w:vAlign w:val="top"/>
          </w:tcPr>
          <w:p w14:paraId="2AD295BB">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比选人发出的答疑及补遗书。</w:t>
            </w:r>
          </w:p>
        </w:tc>
      </w:tr>
      <w:tr w14:paraId="3F97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Merge w:val="restart"/>
            <w:vAlign w:val="center"/>
          </w:tcPr>
          <w:p w14:paraId="3C8C1CC5">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2.2.1</w:t>
            </w:r>
          </w:p>
        </w:tc>
        <w:tc>
          <w:tcPr>
            <w:tcW w:w="1741" w:type="dxa"/>
            <w:vMerge w:val="restart"/>
            <w:vAlign w:val="center"/>
          </w:tcPr>
          <w:p w14:paraId="4F3CDD39">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竞选人要求澄清比选文件</w:t>
            </w:r>
          </w:p>
        </w:tc>
        <w:tc>
          <w:tcPr>
            <w:tcW w:w="5500" w:type="dxa"/>
            <w:vAlign w:val="top"/>
          </w:tcPr>
          <w:p w14:paraId="245857C5">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时间：竞选文件递交截止时间前3日。</w:t>
            </w:r>
          </w:p>
        </w:tc>
      </w:tr>
      <w:tr w14:paraId="52EA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Merge w:val="continue"/>
            <w:vAlign w:val="top"/>
          </w:tcPr>
          <w:p w14:paraId="4FDE264A">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p>
        </w:tc>
        <w:tc>
          <w:tcPr>
            <w:tcW w:w="1741" w:type="dxa"/>
            <w:vMerge w:val="continue"/>
            <w:vAlign w:val="top"/>
          </w:tcPr>
          <w:p w14:paraId="77C5927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p>
        </w:tc>
        <w:tc>
          <w:tcPr>
            <w:tcW w:w="5500" w:type="dxa"/>
            <w:vAlign w:val="top"/>
          </w:tcPr>
          <w:p w14:paraId="06F21205">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形式：书面（加盖公章）提交至比选人。</w:t>
            </w:r>
          </w:p>
        </w:tc>
      </w:tr>
      <w:tr w14:paraId="7D05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AC066A0">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2.2.2</w:t>
            </w:r>
          </w:p>
        </w:tc>
        <w:tc>
          <w:tcPr>
            <w:tcW w:w="1741" w:type="dxa"/>
            <w:vAlign w:val="center"/>
          </w:tcPr>
          <w:p w14:paraId="53CA1862">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比选文件澄清发出的形式</w:t>
            </w:r>
          </w:p>
        </w:tc>
        <w:tc>
          <w:tcPr>
            <w:tcW w:w="5500" w:type="dxa"/>
            <w:vAlign w:val="center"/>
          </w:tcPr>
          <w:p w14:paraId="6FC94B0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重庆环保投资集团有限公司官网（http://www.cqht.cn/）发布。</w:t>
            </w:r>
          </w:p>
        </w:tc>
      </w:tr>
      <w:tr w14:paraId="238D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FFB3F7A">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2.2.3</w:t>
            </w:r>
          </w:p>
        </w:tc>
        <w:tc>
          <w:tcPr>
            <w:tcW w:w="1741" w:type="dxa"/>
            <w:vAlign w:val="center"/>
          </w:tcPr>
          <w:p w14:paraId="28E5E059">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竞选人确认收到比选文件澄清</w:t>
            </w:r>
          </w:p>
        </w:tc>
        <w:tc>
          <w:tcPr>
            <w:tcW w:w="5500" w:type="dxa"/>
            <w:vAlign w:val="top"/>
          </w:tcPr>
          <w:p w14:paraId="692DA03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重庆环保投资集团有限公司官网（http://www.cqht.cn/）自行下载。</w:t>
            </w:r>
          </w:p>
        </w:tc>
      </w:tr>
      <w:tr w14:paraId="028A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807E6C7">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2.3.1</w:t>
            </w:r>
          </w:p>
        </w:tc>
        <w:tc>
          <w:tcPr>
            <w:tcW w:w="1741" w:type="dxa"/>
            <w:vAlign w:val="center"/>
          </w:tcPr>
          <w:p w14:paraId="5FEF688B">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比选文件修改发出的形式</w:t>
            </w:r>
          </w:p>
        </w:tc>
        <w:tc>
          <w:tcPr>
            <w:tcW w:w="5500" w:type="dxa"/>
            <w:vAlign w:val="top"/>
          </w:tcPr>
          <w:p w14:paraId="07A1F764">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重庆环保投资集团有限公司官网（http://www.cqht.cn/）发布。</w:t>
            </w:r>
          </w:p>
        </w:tc>
      </w:tr>
      <w:tr w14:paraId="3A5C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BDE92B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2.3.2</w:t>
            </w:r>
          </w:p>
        </w:tc>
        <w:tc>
          <w:tcPr>
            <w:tcW w:w="1741" w:type="dxa"/>
            <w:vAlign w:val="center"/>
          </w:tcPr>
          <w:p w14:paraId="334E213D">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竞选人确认收到比选文件修改</w:t>
            </w:r>
          </w:p>
        </w:tc>
        <w:tc>
          <w:tcPr>
            <w:tcW w:w="5500" w:type="dxa"/>
            <w:vAlign w:val="top"/>
          </w:tcPr>
          <w:p w14:paraId="78FAA3E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重庆环保投资集团有限公司官网（http://www.cqht.cn/）自行下载。</w:t>
            </w:r>
          </w:p>
        </w:tc>
      </w:tr>
      <w:tr w14:paraId="3E6C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F4859D2">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3.1.1</w:t>
            </w:r>
          </w:p>
        </w:tc>
        <w:tc>
          <w:tcPr>
            <w:tcW w:w="1741" w:type="dxa"/>
            <w:vAlign w:val="center"/>
          </w:tcPr>
          <w:p w14:paraId="269F995B">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构成竞选文件的其他资料</w:t>
            </w:r>
          </w:p>
        </w:tc>
        <w:tc>
          <w:tcPr>
            <w:tcW w:w="5500" w:type="dxa"/>
            <w:vAlign w:val="top"/>
          </w:tcPr>
          <w:p w14:paraId="28AAB802">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1.允许竞选人为证明自己的实力和能力提供另外的资料；</w:t>
            </w:r>
          </w:p>
          <w:p w14:paraId="147D980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2.竞选人在评审过程中作出的符合法律和比选文件规定的澄清确认，构成竞选文件的组成部分。</w:t>
            </w:r>
          </w:p>
        </w:tc>
      </w:tr>
      <w:tr w14:paraId="1A2A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top"/>
          </w:tcPr>
          <w:p w14:paraId="5D4180D4">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3.2.1</w:t>
            </w:r>
          </w:p>
        </w:tc>
        <w:tc>
          <w:tcPr>
            <w:tcW w:w="1741" w:type="dxa"/>
            <w:vAlign w:val="top"/>
          </w:tcPr>
          <w:p w14:paraId="7C41FA84">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增值税税金的计算方法</w:t>
            </w:r>
          </w:p>
        </w:tc>
        <w:tc>
          <w:tcPr>
            <w:tcW w:w="5500" w:type="dxa"/>
            <w:vAlign w:val="top"/>
          </w:tcPr>
          <w:p w14:paraId="15121F84">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按国家规定的增值税税金政策计算。</w:t>
            </w:r>
          </w:p>
        </w:tc>
      </w:tr>
      <w:tr w14:paraId="12C5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C91845D">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3.2.4</w:t>
            </w:r>
          </w:p>
        </w:tc>
        <w:tc>
          <w:tcPr>
            <w:tcW w:w="1741" w:type="dxa"/>
            <w:vAlign w:val="center"/>
          </w:tcPr>
          <w:p w14:paraId="1329E3B4">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最高竞选限价</w:t>
            </w:r>
          </w:p>
        </w:tc>
        <w:tc>
          <w:tcPr>
            <w:tcW w:w="5500" w:type="dxa"/>
            <w:vAlign w:val="top"/>
          </w:tcPr>
          <w:p w14:paraId="1460AAD0">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□无</w:t>
            </w:r>
          </w:p>
          <w:p w14:paraId="0D8BB6D6">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☑有，最高竞选限价</w:t>
            </w:r>
            <w:r>
              <w:rPr>
                <w:rFonts w:hint="default" w:ascii="方正仿宋_GBK" w:hAnsi="方正仿宋_GBK" w:eastAsia="方正仿宋_GBK" w:cs="方正仿宋_GBK"/>
                <w:snapToGrid/>
                <w:color w:val="auto"/>
                <w:kern w:val="2"/>
                <w:szCs w:val="21"/>
                <w:highlight w:val="none"/>
                <w:lang w:val="en-US" w:eastAsia="zh-CN" w:bidi="ar-SA"/>
              </w:rPr>
              <w:t>：</w:t>
            </w:r>
            <w:r>
              <w:rPr>
                <w:rFonts w:hint="eastAsia" w:ascii="方正仿宋_GBK" w:hAnsi="方正仿宋_GBK" w:eastAsia="方正仿宋_GBK" w:cs="方正仿宋_GBK"/>
                <w:snapToGrid/>
                <w:color w:val="auto"/>
                <w:kern w:val="2"/>
                <w:szCs w:val="21"/>
                <w:highlight w:val="none"/>
                <w:lang w:val="en-US" w:eastAsia="zh-CN" w:bidi="ar-SA"/>
              </w:rPr>
              <w:t>人民</w:t>
            </w:r>
            <w:r>
              <w:rPr>
                <w:rFonts w:hint="default" w:ascii="方正仿宋_GBK" w:hAnsi="方正仿宋_GBK" w:eastAsia="方正仿宋_GBK" w:cs="方正仿宋_GBK"/>
                <w:snapToGrid/>
                <w:color w:val="auto"/>
                <w:kern w:val="2"/>
                <w:szCs w:val="21"/>
                <w:highlight w:val="none"/>
                <w:lang w:val="en-US" w:eastAsia="zh-CN" w:bidi="ar-SA"/>
              </w:rPr>
              <w:t>币</w:t>
            </w:r>
            <w:r>
              <w:rPr>
                <w:rFonts w:hint="eastAsia" w:ascii="方正仿宋_GBK" w:hAnsi="方正仿宋_GBK" w:eastAsia="方正仿宋_GBK" w:cs="方正仿宋_GBK"/>
                <w:snapToGrid/>
                <w:color w:val="auto"/>
                <w:kern w:val="2"/>
                <w:szCs w:val="21"/>
                <w:highlight w:val="none"/>
                <w:lang w:val="en-US" w:eastAsia="zh-CN" w:bidi="ar-SA"/>
              </w:rPr>
              <w:t>281156.00元（大写：贰拾捌萬壹仟壹佰伍拾陆圆）</w:t>
            </w:r>
          </w:p>
        </w:tc>
      </w:tr>
      <w:tr w14:paraId="1128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163" w:type="dxa"/>
            <w:vAlign w:val="center"/>
          </w:tcPr>
          <w:p w14:paraId="2AF98B9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3.2.5</w:t>
            </w:r>
          </w:p>
        </w:tc>
        <w:tc>
          <w:tcPr>
            <w:tcW w:w="1741" w:type="dxa"/>
            <w:vAlign w:val="center"/>
          </w:tcPr>
          <w:p w14:paraId="4292BA1A">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竞选报价的其他要求</w:t>
            </w:r>
          </w:p>
        </w:tc>
        <w:tc>
          <w:tcPr>
            <w:tcW w:w="5500" w:type="dxa"/>
            <w:vAlign w:val="top"/>
          </w:tcPr>
          <w:p w14:paraId="1C48ECF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1.竞选人应根据本次比选项目的范围、技术要求、竞选人自身情况和市场行情自行报价；</w:t>
            </w:r>
          </w:p>
          <w:p w14:paraId="419137B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2.本次比选报价采取含税全费用包干价进行计价结算。</w:t>
            </w:r>
          </w:p>
          <w:p w14:paraId="4DD0963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3.竞选人自主报价应自行考虑项目距离带来的风险。报价包含但不限于完成全部工作的所有费用。</w:t>
            </w:r>
          </w:p>
        </w:tc>
      </w:tr>
      <w:tr w14:paraId="6D92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top"/>
          </w:tcPr>
          <w:p w14:paraId="5A636E97">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3.3.1</w:t>
            </w:r>
          </w:p>
        </w:tc>
        <w:tc>
          <w:tcPr>
            <w:tcW w:w="1741" w:type="dxa"/>
            <w:vAlign w:val="top"/>
          </w:tcPr>
          <w:p w14:paraId="027CF21B">
            <w:pPr>
              <w:widowControl w:val="0"/>
              <w:spacing w:before="172" w:line="186" w:lineRule="auto"/>
              <w:jc w:val="center"/>
              <w:rPr>
                <w:rFonts w:hint="eastAsia" w:ascii="方正仿宋_GBK" w:hAnsi="方正仿宋_GBK" w:eastAsia="方正仿宋_GBK" w:cs="方正仿宋_GBK"/>
                <w:color w:val="auto"/>
                <w:vertAlign w:val="baseline"/>
              </w:rPr>
            </w:pPr>
            <w:r>
              <w:rPr>
                <w:rFonts w:hint="eastAsia" w:ascii="方正仿宋_GBK" w:hAnsi="方正仿宋_GBK" w:eastAsia="方正仿宋_GBK" w:cs="方正仿宋_GBK"/>
                <w:color w:val="auto"/>
                <w:spacing w:val="-2"/>
                <w:sz w:val="21"/>
                <w:szCs w:val="21"/>
                <w:lang w:eastAsia="zh-CN"/>
              </w:rPr>
              <w:t>竞选</w:t>
            </w:r>
            <w:r>
              <w:rPr>
                <w:rFonts w:hint="eastAsia" w:ascii="方正仿宋_GBK" w:hAnsi="方正仿宋_GBK" w:eastAsia="方正仿宋_GBK" w:cs="方正仿宋_GBK"/>
                <w:color w:val="auto"/>
                <w:spacing w:val="-2"/>
                <w:sz w:val="21"/>
                <w:szCs w:val="21"/>
              </w:rPr>
              <w:t>有效期</w:t>
            </w:r>
          </w:p>
        </w:tc>
        <w:tc>
          <w:tcPr>
            <w:tcW w:w="5500" w:type="dxa"/>
            <w:vAlign w:val="top"/>
          </w:tcPr>
          <w:p w14:paraId="3A663B86">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90日历天（从竞选文件投递截止时间开始计算）。</w:t>
            </w:r>
          </w:p>
        </w:tc>
      </w:tr>
      <w:tr w14:paraId="3F31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6313AA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color w:val="auto"/>
                <w:vertAlign w:val="baseline"/>
              </w:rPr>
            </w:pPr>
            <w:r>
              <w:rPr>
                <w:rFonts w:hint="eastAsia" w:ascii="方正仿宋_GBK" w:hAnsi="方正仿宋_GBK" w:eastAsia="方正仿宋_GBK" w:cs="方正仿宋_GBK"/>
                <w:snapToGrid/>
                <w:color w:val="auto"/>
                <w:kern w:val="2"/>
                <w:szCs w:val="21"/>
                <w:highlight w:val="none"/>
                <w:lang w:val="en-US" w:eastAsia="zh-CN" w:bidi="ar-SA"/>
              </w:rPr>
              <w:t>3.4.1</w:t>
            </w:r>
          </w:p>
        </w:tc>
        <w:tc>
          <w:tcPr>
            <w:tcW w:w="1741" w:type="dxa"/>
            <w:vAlign w:val="center"/>
          </w:tcPr>
          <w:p w14:paraId="713ACEA1">
            <w:pPr>
              <w:widowControl w:val="0"/>
              <w:spacing w:before="68" w:line="186" w:lineRule="auto"/>
              <w:jc w:val="center"/>
              <w:rPr>
                <w:rFonts w:hint="eastAsia" w:ascii="方正仿宋_GBK" w:hAnsi="方正仿宋_GBK" w:eastAsia="方正仿宋_GBK" w:cs="方正仿宋_GBK"/>
                <w:color w:val="auto"/>
                <w:vertAlign w:val="baseline"/>
                <w:lang w:eastAsia="zh-CN"/>
              </w:rPr>
            </w:pPr>
            <w:r>
              <w:rPr>
                <w:rFonts w:hint="eastAsia" w:ascii="方正仿宋_GBK" w:hAnsi="方正仿宋_GBK" w:eastAsia="方正仿宋_GBK" w:cs="方正仿宋_GBK"/>
                <w:color w:val="auto"/>
                <w:spacing w:val="-2"/>
                <w:sz w:val="21"/>
                <w:szCs w:val="21"/>
                <w:lang w:eastAsia="zh-CN"/>
              </w:rPr>
              <w:t>竞选保证金</w:t>
            </w:r>
          </w:p>
        </w:tc>
        <w:tc>
          <w:tcPr>
            <w:tcW w:w="5500" w:type="dxa"/>
            <w:vAlign w:val="top"/>
          </w:tcPr>
          <w:p w14:paraId="754E7A23">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是否要求竞选人提交竞选保证金：</w:t>
            </w:r>
          </w:p>
          <w:p w14:paraId="6AE8EF9D">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☑不要求。</w:t>
            </w:r>
          </w:p>
          <w:p w14:paraId="4246A3DD">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□要求。</w:t>
            </w:r>
          </w:p>
        </w:tc>
      </w:tr>
      <w:tr w14:paraId="1A41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0BF54C9">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3.4.4</w:t>
            </w:r>
          </w:p>
        </w:tc>
        <w:tc>
          <w:tcPr>
            <w:tcW w:w="1741" w:type="dxa"/>
            <w:vAlign w:val="center"/>
          </w:tcPr>
          <w:p w14:paraId="18F25E5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其他可以不予退还竞选保证金的情形</w:t>
            </w:r>
          </w:p>
        </w:tc>
        <w:tc>
          <w:tcPr>
            <w:tcW w:w="5500" w:type="dxa"/>
            <w:vAlign w:val="center"/>
          </w:tcPr>
          <w:p w14:paraId="54A1D7BF">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w:t>
            </w:r>
          </w:p>
        </w:tc>
      </w:tr>
      <w:tr w14:paraId="7328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9715ACF">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3.5</w:t>
            </w:r>
          </w:p>
        </w:tc>
        <w:tc>
          <w:tcPr>
            <w:tcW w:w="1741" w:type="dxa"/>
            <w:vAlign w:val="center"/>
          </w:tcPr>
          <w:p w14:paraId="4C31FD98">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资格审查资料的特殊要求</w:t>
            </w:r>
          </w:p>
        </w:tc>
        <w:tc>
          <w:tcPr>
            <w:tcW w:w="5500" w:type="dxa"/>
            <w:vAlign w:val="top"/>
          </w:tcPr>
          <w:p w14:paraId="73858557">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☑无</w:t>
            </w:r>
          </w:p>
          <w:p w14:paraId="2143F503">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□有，具体要求：</w:t>
            </w:r>
          </w:p>
        </w:tc>
      </w:tr>
      <w:tr w14:paraId="2DAD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C88B1C0">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3.5.2</w:t>
            </w:r>
          </w:p>
        </w:tc>
        <w:tc>
          <w:tcPr>
            <w:tcW w:w="1741" w:type="dxa"/>
            <w:vAlign w:val="center"/>
          </w:tcPr>
          <w:p w14:paraId="76C92A1B">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近年财务状况的年份要求</w:t>
            </w:r>
          </w:p>
        </w:tc>
        <w:tc>
          <w:tcPr>
            <w:tcW w:w="5500" w:type="dxa"/>
            <w:vAlign w:val="top"/>
          </w:tcPr>
          <w:p w14:paraId="4B8FEA4D">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u w:val="single"/>
                <w:lang w:val="en-US" w:eastAsia="zh-CN" w:bidi="ar-SA"/>
              </w:rPr>
              <w:t>2023</w:t>
            </w:r>
            <w:r>
              <w:rPr>
                <w:rFonts w:hint="eastAsia" w:ascii="方正仿宋_GBK" w:hAnsi="方正仿宋_GBK" w:eastAsia="方正仿宋_GBK" w:cs="方正仿宋_GBK"/>
                <w:snapToGrid/>
                <w:color w:val="auto"/>
                <w:kern w:val="2"/>
                <w:szCs w:val="21"/>
                <w:highlight w:val="none"/>
                <w:lang w:val="en-US" w:eastAsia="zh-CN" w:bidi="ar-SA"/>
              </w:rPr>
              <w:t>年至竞选文件递交截止时间。</w:t>
            </w:r>
          </w:p>
        </w:tc>
      </w:tr>
      <w:tr w14:paraId="30FC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082BB1A">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3.5.3</w:t>
            </w:r>
          </w:p>
        </w:tc>
        <w:tc>
          <w:tcPr>
            <w:tcW w:w="1741" w:type="dxa"/>
            <w:vAlign w:val="center"/>
          </w:tcPr>
          <w:p w14:paraId="6145F050">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近年完成的类似项目情况的时间要求</w:t>
            </w:r>
          </w:p>
        </w:tc>
        <w:tc>
          <w:tcPr>
            <w:tcW w:w="5500" w:type="dxa"/>
            <w:vAlign w:val="center"/>
          </w:tcPr>
          <w:p w14:paraId="46DF6EE3">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u w:val="single"/>
                <w:lang w:val="en-US" w:eastAsia="zh-CN" w:bidi="ar-SA"/>
              </w:rPr>
              <w:t>2023</w:t>
            </w:r>
            <w:r>
              <w:rPr>
                <w:rFonts w:hint="eastAsia" w:ascii="方正仿宋_GBK" w:hAnsi="方正仿宋_GBK" w:eastAsia="方正仿宋_GBK" w:cs="方正仿宋_GBK"/>
                <w:snapToGrid/>
                <w:color w:val="auto"/>
                <w:kern w:val="2"/>
                <w:szCs w:val="21"/>
                <w:highlight w:val="none"/>
                <w:lang w:val="en-US" w:eastAsia="zh-CN" w:bidi="ar-SA"/>
              </w:rPr>
              <w:t>年至竞选文件递交截止时间。</w:t>
            </w:r>
          </w:p>
        </w:tc>
      </w:tr>
      <w:tr w14:paraId="5724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711C327">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3.5.5</w:t>
            </w:r>
          </w:p>
        </w:tc>
        <w:tc>
          <w:tcPr>
            <w:tcW w:w="1741" w:type="dxa"/>
            <w:vAlign w:val="center"/>
          </w:tcPr>
          <w:p w14:paraId="0C260283">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近年发生的诉讼及仲裁情况的时间要求</w:t>
            </w:r>
          </w:p>
        </w:tc>
        <w:tc>
          <w:tcPr>
            <w:tcW w:w="5500" w:type="dxa"/>
            <w:vAlign w:val="center"/>
          </w:tcPr>
          <w:p w14:paraId="7742F856">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w:t>
            </w:r>
          </w:p>
        </w:tc>
      </w:tr>
      <w:tr w14:paraId="0D4B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E0F2198">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3.6.1</w:t>
            </w:r>
          </w:p>
        </w:tc>
        <w:tc>
          <w:tcPr>
            <w:tcW w:w="1741" w:type="dxa"/>
            <w:vAlign w:val="center"/>
          </w:tcPr>
          <w:p w14:paraId="2AF472F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是否允许递交备选竞选方案</w:t>
            </w:r>
          </w:p>
        </w:tc>
        <w:tc>
          <w:tcPr>
            <w:tcW w:w="5500" w:type="dxa"/>
            <w:vAlign w:val="top"/>
          </w:tcPr>
          <w:p w14:paraId="4D318A28">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☑不允许；</w:t>
            </w:r>
          </w:p>
          <w:p w14:paraId="51B18D90">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□允许。</w:t>
            </w:r>
          </w:p>
        </w:tc>
      </w:tr>
      <w:tr w14:paraId="2346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5613CF2">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3.7.3</w:t>
            </w:r>
          </w:p>
        </w:tc>
        <w:tc>
          <w:tcPr>
            <w:tcW w:w="1741" w:type="dxa"/>
            <w:vAlign w:val="center"/>
          </w:tcPr>
          <w:p w14:paraId="4B19456E">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签名盖章要求</w:t>
            </w:r>
          </w:p>
        </w:tc>
        <w:tc>
          <w:tcPr>
            <w:tcW w:w="5500" w:type="dxa"/>
            <w:vAlign w:val="top"/>
          </w:tcPr>
          <w:p w14:paraId="3D6385A2">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满足竞选文件格式要求，签字盖章齐全。</w:t>
            </w:r>
          </w:p>
        </w:tc>
      </w:tr>
      <w:tr w14:paraId="2AE3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2A0643FF">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3.7.4</w:t>
            </w:r>
          </w:p>
        </w:tc>
        <w:tc>
          <w:tcPr>
            <w:tcW w:w="1741" w:type="dxa"/>
            <w:vAlign w:val="center"/>
          </w:tcPr>
          <w:p w14:paraId="73EB1364">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竞选文件的份数</w:t>
            </w:r>
          </w:p>
        </w:tc>
        <w:tc>
          <w:tcPr>
            <w:tcW w:w="5500" w:type="dxa"/>
            <w:vAlign w:val="top"/>
          </w:tcPr>
          <w:p w14:paraId="5A20B372">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一份。</w:t>
            </w:r>
          </w:p>
        </w:tc>
      </w:tr>
      <w:tr w14:paraId="4664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6195B76">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3.7.5</w:t>
            </w:r>
          </w:p>
        </w:tc>
        <w:tc>
          <w:tcPr>
            <w:tcW w:w="1741" w:type="dxa"/>
            <w:vAlign w:val="center"/>
          </w:tcPr>
          <w:p w14:paraId="4D12DAF3">
            <w:pPr>
              <w:widowControl w:val="0"/>
              <w:kinsoku/>
              <w:autoSpaceDE/>
              <w:autoSpaceDN/>
              <w:adjustRightInd/>
              <w:snapToGrid/>
              <w:spacing w:line="400" w:lineRule="exact"/>
              <w:jc w:val="center"/>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编制要求</w:t>
            </w:r>
          </w:p>
        </w:tc>
        <w:tc>
          <w:tcPr>
            <w:tcW w:w="5500" w:type="dxa"/>
            <w:vAlign w:val="top"/>
          </w:tcPr>
          <w:p w14:paraId="13D5E985">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1.竞选文件采用左侧胶装，必须保证装订牢固。否则，比选人对由于竞选文件装订松散而造成的丢失或其他后果不承担任何责任。</w:t>
            </w:r>
          </w:p>
          <w:p w14:paraId="02CDE154">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2.竞选文件的装订要求：应按照竞选文件格式要求规定格式装订成册，并应编制目录。</w:t>
            </w:r>
          </w:p>
        </w:tc>
      </w:tr>
      <w:tr w14:paraId="344E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A95FCA4">
            <w:pPr>
              <w:widowControl w:val="0"/>
              <w:spacing w:line="400" w:lineRule="exact"/>
              <w:jc w:val="center"/>
              <w:rPr>
                <w:rFonts w:hint="eastAsia"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zCs w:val="21"/>
                <w:highlight w:val="none"/>
              </w:rPr>
              <w:t>4.1.1</w:t>
            </w:r>
          </w:p>
        </w:tc>
        <w:tc>
          <w:tcPr>
            <w:tcW w:w="1741" w:type="dxa"/>
            <w:vAlign w:val="center"/>
          </w:tcPr>
          <w:p w14:paraId="5CFEE324">
            <w:pPr>
              <w:widowControl w:val="0"/>
              <w:spacing w:line="400" w:lineRule="exact"/>
              <w:jc w:val="center"/>
              <w:rPr>
                <w:rFonts w:hint="eastAsia" w:ascii="方正仿宋_GBK" w:hAnsi="方正仿宋_GBK" w:eastAsia="方正仿宋_GBK" w:cs="方正仿宋_GBK"/>
                <w:color w:val="auto"/>
                <w:szCs w:val="21"/>
                <w:lang w:val="en-US" w:eastAsia="zh-CN"/>
              </w:rPr>
            </w:pPr>
            <w:r>
              <w:rPr>
                <w:rFonts w:hint="eastAsia" w:ascii="方正仿宋_GBK" w:hAnsi="方正仿宋_GBK" w:eastAsia="方正仿宋_GBK" w:cs="方正仿宋_GBK"/>
                <w:color w:val="auto"/>
                <w:spacing w:val="-6"/>
                <w:kern w:val="0"/>
                <w:szCs w:val="21"/>
                <w:highlight w:val="none"/>
                <w:lang w:eastAsia="zh-CN"/>
              </w:rPr>
              <w:t>竞选文件</w:t>
            </w:r>
            <w:r>
              <w:rPr>
                <w:rFonts w:hint="eastAsia" w:ascii="方正仿宋_GBK" w:hAnsi="方正仿宋_GBK" w:eastAsia="方正仿宋_GBK" w:cs="方正仿宋_GBK"/>
                <w:color w:val="auto"/>
                <w:spacing w:val="-6"/>
                <w:kern w:val="0"/>
                <w:szCs w:val="21"/>
                <w:highlight w:val="none"/>
              </w:rPr>
              <w:t>的密封</w:t>
            </w:r>
          </w:p>
        </w:tc>
        <w:tc>
          <w:tcPr>
            <w:tcW w:w="5500" w:type="dxa"/>
            <w:vAlign w:val="top"/>
          </w:tcPr>
          <w:p w14:paraId="40D5118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1.竞选文件袋使用：“竞选文件”袋，袋上应标明“竞选文件”字样。</w:t>
            </w:r>
          </w:p>
          <w:p w14:paraId="17D2ABF4">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2.竞选文件装入“竞选文件”大袋中，密封并在封口处加盖竞选人单位公章。</w:t>
            </w:r>
          </w:p>
        </w:tc>
      </w:tr>
      <w:tr w14:paraId="06F1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3" w:type="dxa"/>
            <w:vAlign w:val="center"/>
          </w:tcPr>
          <w:p w14:paraId="4EC23BCC">
            <w:pPr>
              <w:widowControl w:val="0"/>
              <w:spacing w:line="400" w:lineRule="exact"/>
              <w:jc w:val="center"/>
              <w:rPr>
                <w:rFonts w:hint="eastAsia" w:ascii="方正仿宋_GBK" w:hAnsi="方正仿宋_GBK" w:eastAsia="方正仿宋_GBK" w:cs="方正仿宋_GBK"/>
                <w:color w:val="auto"/>
                <w:szCs w:val="21"/>
                <w:highlight w:val="none"/>
              </w:rPr>
            </w:pPr>
            <w:r>
              <w:rPr>
                <w:rFonts w:hint="eastAsia" w:ascii="方正仿宋_GBK" w:hAnsi="方正仿宋_GBK" w:eastAsia="方正仿宋_GBK" w:cs="方正仿宋_GBK"/>
                <w:color w:val="auto"/>
                <w:szCs w:val="21"/>
                <w:highlight w:val="none"/>
              </w:rPr>
              <w:t>4.2.1</w:t>
            </w:r>
          </w:p>
        </w:tc>
        <w:tc>
          <w:tcPr>
            <w:tcW w:w="1741" w:type="dxa"/>
            <w:vAlign w:val="center"/>
          </w:tcPr>
          <w:p w14:paraId="495B4C1E">
            <w:pPr>
              <w:widowControl w:val="0"/>
              <w:spacing w:line="400" w:lineRule="exact"/>
              <w:jc w:val="center"/>
              <w:rPr>
                <w:rFonts w:hint="eastAsia" w:ascii="方正仿宋_GBK" w:hAnsi="方正仿宋_GBK" w:eastAsia="方正仿宋_GBK" w:cs="方正仿宋_GBK"/>
                <w:color w:val="auto"/>
                <w:szCs w:val="21"/>
                <w:highlight w:val="none"/>
                <w:lang w:eastAsia="zh-CN"/>
              </w:rPr>
            </w:pPr>
            <w:r>
              <w:rPr>
                <w:rFonts w:hint="eastAsia" w:ascii="方正仿宋_GBK" w:hAnsi="方正仿宋_GBK" w:eastAsia="方正仿宋_GBK" w:cs="方正仿宋_GBK"/>
                <w:color w:val="auto"/>
                <w:szCs w:val="21"/>
                <w:highlight w:val="none"/>
                <w:lang w:eastAsia="zh-CN"/>
              </w:rPr>
              <w:t>竞选文件递交截止时间</w:t>
            </w:r>
          </w:p>
        </w:tc>
        <w:tc>
          <w:tcPr>
            <w:tcW w:w="5500" w:type="dxa"/>
            <w:vAlign w:val="center"/>
          </w:tcPr>
          <w:p w14:paraId="04A2B356">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详见比选公告规定的竞选文件递交截止时间。</w:t>
            </w:r>
          </w:p>
        </w:tc>
      </w:tr>
      <w:tr w14:paraId="36FF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9C99F6A">
            <w:pPr>
              <w:widowControl w:val="0"/>
              <w:spacing w:line="400" w:lineRule="exact"/>
              <w:jc w:val="center"/>
              <w:rPr>
                <w:rFonts w:hint="eastAsia" w:ascii="方正仿宋_GBK" w:hAnsi="方正仿宋_GBK" w:eastAsia="方正仿宋_GBK" w:cs="方正仿宋_GBK"/>
                <w:color w:val="auto"/>
                <w:szCs w:val="21"/>
                <w:highlight w:val="none"/>
              </w:rPr>
            </w:pPr>
            <w:r>
              <w:rPr>
                <w:rFonts w:hint="eastAsia" w:ascii="方正仿宋_GBK" w:hAnsi="方正仿宋_GBK" w:eastAsia="方正仿宋_GBK" w:cs="方正仿宋_GBK"/>
                <w:color w:val="auto"/>
                <w:szCs w:val="21"/>
                <w:highlight w:val="none"/>
              </w:rPr>
              <w:t>4.2.2</w:t>
            </w:r>
          </w:p>
        </w:tc>
        <w:tc>
          <w:tcPr>
            <w:tcW w:w="1741" w:type="dxa"/>
            <w:vAlign w:val="center"/>
          </w:tcPr>
          <w:p w14:paraId="4FA1CD38">
            <w:pPr>
              <w:widowControl w:val="0"/>
              <w:spacing w:line="400" w:lineRule="exact"/>
              <w:jc w:val="center"/>
              <w:rPr>
                <w:rFonts w:hint="eastAsia" w:ascii="方正仿宋_GBK" w:hAnsi="方正仿宋_GBK" w:eastAsia="方正仿宋_GBK" w:cs="方正仿宋_GBK"/>
                <w:color w:val="auto"/>
                <w:spacing w:val="-6"/>
                <w:kern w:val="0"/>
                <w:szCs w:val="21"/>
                <w:highlight w:val="none"/>
              </w:rPr>
            </w:pPr>
            <w:r>
              <w:rPr>
                <w:rFonts w:hint="eastAsia" w:ascii="方正仿宋_GBK" w:hAnsi="方正仿宋_GBK" w:eastAsia="方正仿宋_GBK" w:cs="方正仿宋_GBK"/>
                <w:color w:val="auto"/>
                <w:szCs w:val="21"/>
                <w:highlight w:val="none"/>
              </w:rPr>
              <w:t>递交</w:t>
            </w:r>
            <w:r>
              <w:rPr>
                <w:rFonts w:hint="eastAsia" w:ascii="方正仿宋_GBK" w:hAnsi="方正仿宋_GBK" w:eastAsia="方正仿宋_GBK" w:cs="方正仿宋_GBK"/>
                <w:color w:val="auto"/>
                <w:szCs w:val="21"/>
                <w:highlight w:val="none"/>
                <w:lang w:eastAsia="zh-CN"/>
              </w:rPr>
              <w:t>竞选文件</w:t>
            </w:r>
            <w:r>
              <w:rPr>
                <w:rFonts w:hint="eastAsia" w:ascii="方正仿宋_GBK" w:hAnsi="方正仿宋_GBK" w:eastAsia="方正仿宋_GBK" w:cs="方正仿宋_GBK"/>
                <w:color w:val="auto"/>
                <w:szCs w:val="21"/>
                <w:highlight w:val="none"/>
              </w:rPr>
              <w:t>地点</w:t>
            </w:r>
          </w:p>
        </w:tc>
        <w:tc>
          <w:tcPr>
            <w:tcW w:w="5500" w:type="dxa"/>
            <w:vAlign w:val="center"/>
          </w:tcPr>
          <w:p w14:paraId="047409DB">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详见比选公告规定的竞选文件递交地点。</w:t>
            </w:r>
          </w:p>
        </w:tc>
      </w:tr>
      <w:tr w14:paraId="5E9A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BD8CA2E">
            <w:pPr>
              <w:widowControl w:val="0"/>
              <w:spacing w:line="400" w:lineRule="exact"/>
              <w:jc w:val="center"/>
              <w:rPr>
                <w:rFonts w:hint="eastAsia" w:ascii="方正仿宋_GBK" w:hAnsi="方正仿宋_GBK" w:eastAsia="方正仿宋_GBK" w:cs="方正仿宋_GBK"/>
                <w:color w:val="auto"/>
                <w:szCs w:val="21"/>
                <w:highlight w:val="none"/>
              </w:rPr>
            </w:pPr>
            <w:r>
              <w:rPr>
                <w:rFonts w:hint="eastAsia" w:ascii="方正仿宋_GBK" w:hAnsi="方正仿宋_GBK" w:eastAsia="方正仿宋_GBK" w:cs="方正仿宋_GBK"/>
                <w:color w:val="auto"/>
                <w:szCs w:val="21"/>
                <w:highlight w:val="none"/>
              </w:rPr>
              <w:t>4.2.3</w:t>
            </w:r>
          </w:p>
        </w:tc>
        <w:tc>
          <w:tcPr>
            <w:tcW w:w="1741" w:type="dxa"/>
            <w:vAlign w:val="center"/>
          </w:tcPr>
          <w:p w14:paraId="084D07DC">
            <w:pPr>
              <w:widowControl w:val="0"/>
              <w:spacing w:line="400" w:lineRule="exact"/>
              <w:jc w:val="center"/>
              <w:rPr>
                <w:rFonts w:hint="eastAsia" w:ascii="方正仿宋_GBK" w:hAnsi="方正仿宋_GBK" w:eastAsia="方正仿宋_GBK" w:cs="方正仿宋_GBK"/>
                <w:color w:val="auto"/>
                <w:spacing w:val="-6"/>
                <w:kern w:val="0"/>
                <w:szCs w:val="21"/>
                <w:highlight w:val="none"/>
              </w:rPr>
            </w:pPr>
            <w:r>
              <w:rPr>
                <w:rFonts w:hint="eastAsia" w:ascii="方正仿宋_GBK" w:hAnsi="方正仿宋_GBK" w:eastAsia="方正仿宋_GBK" w:cs="方正仿宋_GBK"/>
                <w:color w:val="auto"/>
                <w:szCs w:val="21"/>
                <w:highlight w:val="none"/>
                <w:lang w:eastAsia="zh-CN"/>
              </w:rPr>
              <w:t>竞选文件</w:t>
            </w:r>
            <w:r>
              <w:rPr>
                <w:rFonts w:hint="eastAsia" w:ascii="方正仿宋_GBK" w:hAnsi="方正仿宋_GBK" w:eastAsia="方正仿宋_GBK" w:cs="方正仿宋_GBK"/>
                <w:color w:val="auto"/>
                <w:szCs w:val="21"/>
                <w:highlight w:val="none"/>
              </w:rPr>
              <w:t>是否退还</w:t>
            </w:r>
          </w:p>
        </w:tc>
        <w:tc>
          <w:tcPr>
            <w:tcW w:w="5500" w:type="dxa"/>
            <w:vAlign w:val="center"/>
          </w:tcPr>
          <w:p w14:paraId="77D0327D">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否。</w:t>
            </w:r>
          </w:p>
        </w:tc>
      </w:tr>
      <w:tr w14:paraId="345D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5FC9CE52">
            <w:pPr>
              <w:widowControl w:val="0"/>
              <w:spacing w:line="400" w:lineRule="exact"/>
              <w:jc w:val="center"/>
              <w:rPr>
                <w:rFonts w:hint="eastAsia" w:ascii="方正仿宋_GBK" w:hAnsi="方正仿宋_GBK" w:eastAsia="方正仿宋_GBK" w:cs="方正仿宋_GBK"/>
                <w:color w:val="auto"/>
                <w:szCs w:val="21"/>
                <w:highlight w:val="none"/>
              </w:rPr>
            </w:pPr>
            <w:r>
              <w:rPr>
                <w:rFonts w:hint="eastAsia" w:ascii="方正仿宋_GBK" w:hAnsi="方正仿宋_GBK" w:eastAsia="方正仿宋_GBK" w:cs="方正仿宋_GBK"/>
                <w:color w:val="auto"/>
                <w:szCs w:val="21"/>
                <w:highlight w:val="none"/>
                <w:lang w:val="en-US" w:eastAsia="zh-CN"/>
              </w:rPr>
              <w:t>5.1.1</w:t>
            </w:r>
          </w:p>
        </w:tc>
        <w:tc>
          <w:tcPr>
            <w:tcW w:w="1741" w:type="dxa"/>
            <w:vAlign w:val="center"/>
          </w:tcPr>
          <w:p w14:paraId="2814A1EB">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方正仿宋_GBK" w:hAnsi="方正仿宋_GBK" w:eastAsia="方正仿宋_GBK" w:cs="方正仿宋_GBK"/>
                <w:color w:val="auto"/>
                <w:szCs w:val="21"/>
                <w:highlight w:val="none"/>
              </w:rPr>
            </w:pPr>
            <w:r>
              <w:rPr>
                <w:rFonts w:hint="eastAsia" w:ascii="方正仿宋_GBK" w:hAnsi="方正仿宋_GBK" w:eastAsia="方正仿宋_GBK" w:cs="方正仿宋_GBK"/>
                <w:color w:val="auto"/>
                <w:spacing w:val="-1"/>
                <w:sz w:val="21"/>
                <w:szCs w:val="21"/>
              </w:rPr>
              <w:t>开标时间和地点</w:t>
            </w:r>
          </w:p>
        </w:tc>
        <w:tc>
          <w:tcPr>
            <w:tcW w:w="5500" w:type="dxa"/>
            <w:vAlign w:val="top"/>
          </w:tcPr>
          <w:p w14:paraId="47F27D2B">
            <w:pPr>
              <w:widowControl w:val="0"/>
              <w:spacing w:line="400" w:lineRule="exact"/>
              <w:jc w:val="left"/>
              <w:rPr>
                <w:rFonts w:hint="eastAsia" w:ascii="方正仿宋_GBK" w:hAnsi="方正仿宋_GBK" w:eastAsia="方正仿宋_GBK" w:cs="方正仿宋_GBK"/>
                <w:color w:val="auto"/>
                <w:szCs w:val="21"/>
                <w:highlight w:val="none"/>
                <w:lang w:eastAsia="zh-CN"/>
              </w:rPr>
            </w:pPr>
            <w:r>
              <w:rPr>
                <w:rFonts w:hint="eastAsia" w:ascii="方正仿宋_GBK" w:hAnsi="方正仿宋_GBK" w:eastAsia="方正仿宋_GBK" w:cs="方正仿宋_GBK"/>
                <w:color w:val="auto"/>
                <w:szCs w:val="21"/>
                <w:highlight w:val="none"/>
              </w:rPr>
              <w:t>开标时间：同</w:t>
            </w:r>
            <w:r>
              <w:rPr>
                <w:rFonts w:hint="eastAsia" w:ascii="方正仿宋_GBK" w:hAnsi="方正仿宋_GBK" w:eastAsia="方正仿宋_GBK" w:cs="方正仿宋_GBK"/>
                <w:color w:val="auto"/>
                <w:szCs w:val="21"/>
                <w:highlight w:val="none"/>
                <w:lang w:eastAsia="zh-CN"/>
              </w:rPr>
              <w:t>竞选</w:t>
            </w:r>
            <w:r>
              <w:rPr>
                <w:rFonts w:hint="eastAsia" w:ascii="方正仿宋_GBK" w:hAnsi="方正仿宋_GBK" w:eastAsia="方正仿宋_GBK" w:cs="方正仿宋_GBK"/>
                <w:color w:val="auto"/>
                <w:szCs w:val="21"/>
                <w:highlight w:val="none"/>
              </w:rPr>
              <w:t>文件递交截止时间</w:t>
            </w:r>
            <w:r>
              <w:rPr>
                <w:rFonts w:hint="eastAsia" w:ascii="方正仿宋_GBK" w:hAnsi="方正仿宋_GBK" w:eastAsia="方正仿宋_GBK" w:cs="方正仿宋_GBK"/>
                <w:color w:val="auto"/>
                <w:szCs w:val="21"/>
                <w:highlight w:val="none"/>
                <w:lang w:eastAsia="zh-CN"/>
              </w:rPr>
              <w:t>；</w:t>
            </w:r>
          </w:p>
          <w:p w14:paraId="4603CF20">
            <w:pPr>
              <w:widowControl w:val="0"/>
              <w:spacing w:line="400" w:lineRule="exact"/>
              <w:jc w:val="left"/>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color w:val="auto"/>
                <w:szCs w:val="21"/>
                <w:highlight w:val="none"/>
              </w:rPr>
              <w:t>开标地点：同</w:t>
            </w:r>
            <w:r>
              <w:rPr>
                <w:rFonts w:hint="eastAsia" w:ascii="方正仿宋_GBK" w:hAnsi="方正仿宋_GBK" w:eastAsia="方正仿宋_GBK" w:cs="方正仿宋_GBK"/>
                <w:color w:val="auto"/>
                <w:szCs w:val="21"/>
                <w:highlight w:val="none"/>
                <w:lang w:eastAsia="zh-CN"/>
              </w:rPr>
              <w:t>竞选</w:t>
            </w:r>
            <w:r>
              <w:rPr>
                <w:rFonts w:hint="eastAsia" w:ascii="方正仿宋_GBK" w:hAnsi="方正仿宋_GBK" w:eastAsia="方正仿宋_GBK" w:cs="方正仿宋_GBK"/>
                <w:color w:val="auto"/>
                <w:szCs w:val="21"/>
                <w:highlight w:val="none"/>
              </w:rPr>
              <w:t>文件递交地点</w:t>
            </w:r>
            <w:r>
              <w:rPr>
                <w:rFonts w:hint="eastAsia" w:ascii="方正仿宋_GBK" w:hAnsi="方正仿宋_GBK" w:eastAsia="方正仿宋_GBK" w:cs="方正仿宋_GBK"/>
                <w:color w:val="auto"/>
                <w:szCs w:val="21"/>
                <w:highlight w:val="none"/>
                <w:lang w:eastAsia="zh-CN"/>
              </w:rPr>
              <w:t>。</w:t>
            </w:r>
          </w:p>
        </w:tc>
      </w:tr>
      <w:tr w14:paraId="5E5E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7C46B19">
            <w:pPr>
              <w:widowControl w:val="0"/>
              <w:spacing w:before="174" w:line="186" w:lineRule="auto"/>
              <w:jc w:val="center"/>
              <w:rPr>
                <w:rFonts w:hint="eastAsia" w:ascii="方正仿宋_GBK" w:hAnsi="方正仿宋_GBK" w:eastAsia="方正仿宋_GBK" w:cs="方正仿宋_GBK"/>
                <w:color w:val="auto"/>
                <w:vertAlign w:val="baseline"/>
              </w:rPr>
            </w:pPr>
            <w:r>
              <w:rPr>
                <w:rFonts w:hint="eastAsia" w:ascii="方正仿宋_GBK" w:hAnsi="方正仿宋_GBK" w:eastAsia="方正仿宋_GBK" w:cs="方正仿宋_GBK"/>
                <w:color w:val="auto"/>
                <w:spacing w:val="-5"/>
                <w:w w:val="94"/>
                <w:sz w:val="21"/>
                <w:szCs w:val="21"/>
              </w:rPr>
              <w:t>5.2</w:t>
            </w:r>
          </w:p>
        </w:tc>
        <w:tc>
          <w:tcPr>
            <w:tcW w:w="1741" w:type="dxa"/>
            <w:vAlign w:val="center"/>
          </w:tcPr>
          <w:p w14:paraId="758B97CC">
            <w:pPr>
              <w:widowControl w:val="0"/>
              <w:spacing w:before="174" w:line="186" w:lineRule="auto"/>
              <w:jc w:val="center"/>
              <w:rPr>
                <w:rFonts w:hint="eastAsia" w:ascii="方正仿宋_GBK" w:hAnsi="方正仿宋_GBK" w:eastAsia="方正仿宋_GBK" w:cs="方正仿宋_GBK"/>
                <w:color w:val="auto"/>
                <w:vertAlign w:val="baseline"/>
                <w:lang w:eastAsia="zh-CN"/>
              </w:rPr>
            </w:pPr>
            <w:r>
              <w:rPr>
                <w:rFonts w:hint="eastAsia" w:ascii="方正仿宋_GBK" w:hAnsi="方正仿宋_GBK" w:eastAsia="方正仿宋_GBK" w:cs="方正仿宋_GBK"/>
                <w:color w:val="auto"/>
                <w:spacing w:val="-2"/>
                <w:sz w:val="21"/>
                <w:szCs w:val="21"/>
                <w:lang w:val="en-US" w:eastAsia="zh-CN"/>
              </w:rPr>
              <w:t>开启竞选文件</w:t>
            </w:r>
            <w:r>
              <w:rPr>
                <w:rFonts w:hint="eastAsia" w:ascii="方正仿宋_GBK" w:hAnsi="方正仿宋_GBK" w:eastAsia="方正仿宋_GBK" w:cs="方正仿宋_GBK"/>
                <w:color w:val="auto"/>
                <w:spacing w:val="-2"/>
                <w:sz w:val="21"/>
                <w:szCs w:val="21"/>
              </w:rPr>
              <w:t>程序</w:t>
            </w:r>
          </w:p>
        </w:tc>
        <w:tc>
          <w:tcPr>
            <w:tcW w:w="5500" w:type="dxa"/>
            <w:vAlign w:val="top"/>
          </w:tcPr>
          <w:p w14:paraId="4AEF25F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按下列程序进行比选：</w:t>
            </w:r>
          </w:p>
          <w:p w14:paraId="585224F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 宣布比选项目及比选纪律；</w:t>
            </w:r>
          </w:p>
          <w:p w14:paraId="3B9090B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 宣布比选人、唱标人、记录人、监标人等有关人员姓名；</w:t>
            </w:r>
          </w:p>
          <w:p w14:paraId="717065B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 公布在竞选截止时间前递交竞选文件的竞选人名称，并点名确认竞选人是否派人到场；</w:t>
            </w:r>
          </w:p>
          <w:p w14:paraId="0B00E5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4.密封情况检查：竞选人或者其推选的代表检查竞选文件的密封情况并确认；</w:t>
            </w:r>
          </w:p>
          <w:p w14:paraId="7643C03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5. 设有最高限价或者标底的，公布最高限价或者标底；</w:t>
            </w:r>
          </w:p>
          <w:p w14:paraId="15C03C1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6. 开启竞选文件顺序：随机开启；</w:t>
            </w:r>
          </w:p>
          <w:p w14:paraId="0E9B998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7. 按照顺序当众比选，开启竞选文件并唱标；</w:t>
            </w:r>
          </w:p>
          <w:p w14:paraId="25ACF63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8.竞选人代表、比选人代表等有关人员在比选记录上签字确认；</w:t>
            </w:r>
          </w:p>
          <w:p w14:paraId="3FD320F5">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9.比选结束。</w:t>
            </w:r>
          </w:p>
        </w:tc>
      </w:tr>
      <w:tr w14:paraId="7780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B3123EF">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rPr>
              <w:t>6.1.1</w:t>
            </w:r>
          </w:p>
        </w:tc>
        <w:tc>
          <w:tcPr>
            <w:tcW w:w="1741" w:type="dxa"/>
            <w:vAlign w:val="center"/>
          </w:tcPr>
          <w:p w14:paraId="5403E0AC">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lang w:eastAsia="zh-CN"/>
              </w:rPr>
              <w:t>评审小组</w:t>
            </w:r>
            <w:r>
              <w:rPr>
                <w:rFonts w:hint="eastAsia" w:ascii="方正仿宋_GBK" w:hAnsi="方正仿宋_GBK" w:eastAsia="方正仿宋_GBK" w:cs="方正仿宋_GBK"/>
                <w:color w:val="auto"/>
                <w:spacing w:val="-2"/>
                <w:sz w:val="21"/>
                <w:szCs w:val="21"/>
              </w:rPr>
              <w:t>的组建</w:t>
            </w:r>
          </w:p>
        </w:tc>
        <w:tc>
          <w:tcPr>
            <w:tcW w:w="5500" w:type="dxa"/>
            <w:vAlign w:val="top"/>
          </w:tcPr>
          <w:p w14:paraId="6256E4EB">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按照相关法律法规、比选人制度组建。</w:t>
            </w:r>
          </w:p>
        </w:tc>
      </w:tr>
      <w:tr w14:paraId="6824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74D05735">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rPr>
              <w:t>6.3.2</w:t>
            </w:r>
          </w:p>
        </w:tc>
        <w:tc>
          <w:tcPr>
            <w:tcW w:w="1741" w:type="dxa"/>
            <w:vAlign w:val="center"/>
          </w:tcPr>
          <w:p w14:paraId="1A02057D">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lang w:eastAsia="zh-CN"/>
              </w:rPr>
              <w:t>评审小组</w:t>
            </w:r>
            <w:r>
              <w:rPr>
                <w:rFonts w:hint="eastAsia" w:ascii="方正仿宋_GBK" w:hAnsi="方正仿宋_GBK" w:eastAsia="方正仿宋_GBK" w:cs="方正仿宋_GBK"/>
                <w:color w:val="auto"/>
                <w:spacing w:val="-2"/>
                <w:sz w:val="21"/>
                <w:szCs w:val="21"/>
              </w:rPr>
              <w:t>推荐</w:t>
            </w:r>
            <w:r>
              <w:rPr>
                <w:rFonts w:hint="eastAsia" w:ascii="方正仿宋_GBK" w:hAnsi="方正仿宋_GBK" w:eastAsia="方正仿宋_GBK" w:cs="方正仿宋_GBK"/>
                <w:color w:val="auto"/>
                <w:spacing w:val="-2"/>
                <w:sz w:val="21"/>
                <w:szCs w:val="21"/>
                <w:lang w:eastAsia="zh-CN"/>
              </w:rPr>
              <w:t>成交竞选人候选人</w:t>
            </w:r>
            <w:r>
              <w:rPr>
                <w:rFonts w:hint="eastAsia" w:ascii="方正仿宋_GBK" w:hAnsi="方正仿宋_GBK" w:eastAsia="方正仿宋_GBK" w:cs="方正仿宋_GBK"/>
                <w:color w:val="auto"/>
                <w:spacing w:val="-2"/>
                <w:sz w:val="21"/>
                <w:szCs w:val="21"/>
              </w:rPr>
              <w:t>的人数</w:t>
            </w:r>
          </w:p>
        </w:tc>
        <w:tc>
          <w:tcPr>
            <w:tcW w:w="5500" w:type="dxa"/>
            <w:vAlign w:val="center"/>
          </w:tcPr>
          <w:p w14:paraId="7EBC3159">
            <w:pPr>
              <w:widowControl w:val="0"/>
              <w:kinsoku/>
              <w:autoSpaceDE/>
              <w:autoSpaceDN/>
              <w:adjustRightInd/>
              <w:snapToGrid/>
              <w:spacing w:line="400" w:lineRule="exact"/>
              <w:jc w:val="both"/>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color w:val="auto"/>
                <w:spacing w:val="-2"/>
                <w:sz w:val="21"/>
                <w:szCs w:val="21"/>
                <w:lang w:eastAsia="zh-CN"/>
              </w:rPr>
              <w:t>推荐经评审排名前3名为成交侯选人。</w:t>
            </w:r>
          </w:p>
        </w:tc>
      </w:tr>
      <w:tr w14:paraId="48E3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16E7A58B">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rPr>
              <w:t>7.1</w:t>
            </w:r>
          </w:p>
        </w:tc>
        <w:tc>
          <w:tcPr>
            <w:tcW w:w="1741" w:type="dxa"/>
            <w:vAlign w:val="center"/>
          </w:tcPr>
          <w:p w14:paraId="3B5EB318">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lang w:eastAsia="zh-CN"/>
              </w:rPr>
              <w:t>成交竞选人候选人</w:t>
            </w:r>
            <w:r>
              <w:rPr>
                <w:rFonts w:hint="eastAsia" w:ascii="方正仿宋_GBK" w:hAnsi="方正仿宋_GBK" w:eastAsia="方正仿宋_GBK" w:cs="方正仿宋_GBK"/>
                <w:color w:val="auto"/>
                <w:spacing w:val="-2"/>
                <w:sz w:val="21"/>
                <w:szCs w:val="21"/>
              </w:rPr>
              <w:t>公示媒介及期限</w:t>
            </w:r>
          </w:p>
        </w:tc>
        <w:tc>
          <w:tcPr>
            <w:tcW w:w="5500" w:type="dxa"/>
            <w:vAlign w:val="top"/>
          </w:tcPr>
          <w:p w14:paraId="09F2DCE5">
            <w:pPr>
              <w:widowControl w:val="0"/>
              <w:kinsoku/>
              <w:autoSpaceDE/>
              <w:autoSpaceDN/>
              <w:adjustRightInd/>
              <w:snapToGrid/>
              <w:spacing w:line="400" w:lineRule="exact"/>
              <w:jc w:val="both"/>
              <w:textAlignment w:val="auto"/>
              <w:rPr>
                <w:rFonts w:hint="eastAsia" w:ascii="方正仿宋_GBK" w:hAnsi="方正仿宋_GBK" w:eastAsia="方正仿宋_GBK" w:cs="方正仿宋_GBK"/>
                <w:color w:val="auto"/>
                <w:spacing w:val="-2"/>
                <w:sz w:val="21"/>
                <w:szCs w:val="21"/>
                <w:lang w:eastAsia="zh-CN"/>
              </w:rPr>
            </w:pPr>
            <w:r>
              <w:rPr>
                <w:rFonts w:hint="eastAsia" w:ascii="方正仿宋_GBK" w:hAnsi="方正仿宋_GBK" w:eastAsia="方正仿宋_GBK" w:cs="方正仿宋_GBK"/>
                <w:color w:val="auto"/>
                <w:spacing w:val="-2"/>
                <w:sz w:val="21"/>
                <w:szCs w:val="21"/>
                <w:lang w:eastAsia="zh-CN"/>
              </w:rPr>
              <w:t>公示媒介：重庆环保投资集团有限公司官网（http://www.cqht.cn/）</w:t>
            </w:r>
          </w:p>
          <w:p w14:paraId="3D6B5E93">
            <w:pPr>
              <w:widowControl w:val="0"/>
              <w:kinsoku/>
              <w:autoSpaceDE/>
              <w:autoSpaceDN/>
              <w:adjustRightInd/>
              <w:snapToGrid/>
              <w:spacing w:line="400" w:lineRule="exact"/>
              <w:jc w:val="both"/>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color w:val="auto"/>
                <w:spacing w:val="-2"/>
                <w:sz w:val="21"/>
                <w:szCs w:val="21"/>
                <w:lang w:eastAsia="zh-CN"/>
              </w:rPr>
              <w:t>公示期限：</w:t>
            </w:r>
            <w:r>
              <w:rPr>
                <w:rFonts w:hint="eastAsia" w:ascii="方正仿宋_GBK" w:hAnsi="方正仿宋_GBK" w:eastAsia="方正仿宋_GBK" w:cs="方正仿宋_GBK"/>
                <w:color w:val="auto"/>
                <w:spacing w:val="-2"/>
                <w:sz w:val="21"/>
                <w:szCs w:val="21"/>
                <w:u w:val="single"/>
                <w:lang w:eastAsia="zh-CN"/>
              </w:rPr>
              <w:t>3</w:t>
            </w:r>
            <w:r>
              <w:rPr>
                <w:rFonts w:hint="eastAsia" w:ascii="方正仿宋_GBK" w:hAnsi="方正仿宋_GBK" w:eastAsia="方正仿宋_GBK" w:cs="方正仿宋_GBK"/>
                <w:color w:val="auto"/>
                <w:spacing w:val="-2"/>
                <w:sz w:val="21"/>
                <w:szCs w:val="21"/>
                <w:lang w:eastAsia="zh-CN"/>
              </w:rPr>
              <w:t>日</w:t>
            </w:r>
          </w:p>
        </w:tc>
      </w:tr>
      <w:tr w14:paraId="7344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3E2B7F91">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rPr>
              <w:t>7.4</w:t>
            </w:r>
          </w:p>
        </w:tc>
        <w:tc>
          <w:tcPr>
            <w:tcW w:w="1741" w:type="dxa"/>
            <w:vAlign w:val="center"/>
          </w:tcPr>
          <w:p w14:paraId="62B8405A">
            <w:pPr>
              <w:widowControl w:val="0"/>
              <w:spacing w:before="174" w:line="186" w:lineRule="auto"/>
              <w:jc w:val="center"/>
              <w:rPr>
                <w:rFonts w:hint="eastAsia" w:ascii="方正仿宋_GBK" w:hAnsi="方正仿宋_GBK" w:eastAsia="方正仿宋_GBK" w:cs="方正仿宋_GBK"/>
                <w:color w:val="auto"/>
                <w:spacing w:val="-2"/>
                <w:sz w:val="21"/>
                <w:szCs w:val="21"/>
                <w:lang w:eastAsia="zh-CN"/>
              </w:rPr>
            </w:pPr>
            <w:r>
              <w:rPr>
                <w:rFonts w:hint="eastAsia" w:ascii="方正仿宋_GBK" w:hAnsi="方正仿宋_GBK" w:eastAsia="方正仿宋_GBK" w:cs="方正仿宋_GBK"/>
                <w:color w:val="auto"/>
                <w:spacing w:val="-2"/>
                <w:sz w:val="21"/>
                <w:szCs w:val="21"/>
              </w:rPr>
              <w:t>是否授权</w:t>
            </w:r>
            <w:r>
              <w:rPr>
                <w:rFonts w:hint="eastAsia" w:ascii="方正仿宋_GBK" w:hAnsi="方正仿宋_GBK" w:eastAsia="方正仿宋_GBK" w:cs="方正仿宋_GBK"/>
                <w:color w:val="auto"/>
                <w:spacing w:val="-2"/>
                <w:sz w:val="21"/>
                <w:szCs w:val="21"/>
                <w:lang w:eastAsia="zh-CN"/>
              </w:rPr>
              <w:t>评审小组</w:t>
            </w:r>
            <w:r>
              <w:rPr>
                <w:rFonts w:hint="eastAsia" w:ascii="方正仿宋_GBK" w:hAnsi="方正仿宋_GBK" w:eastAsia="方正仿宋_GBK" w:cs="方正仿宋_GBK"/>
                <w:color w:val="auto"/>
                <w:spacing w:val="-2"/>
                <w:sz w:val="21"/>
                <w:szCs w:val="21"/>
              </w:rPr>
              <w:t>确定</w:t>
            </w:r>
            <w:r>
              <w:rPr>
                <w:rFonts w:hint="eastAsia" w:ascii="方正仿宋_GBK" w:hAnsi="方正仿宋_GBK" w:eastAsia="方正仿宋_GBK" w:cs="方正仿宋_GBK"/>
                <w:color w:val="auto"/>
                <w:spacing w:val="-2"/>
                <w:sz w:val="21"/>
                <w:szCs w:val="21"/>
                <w:lang w:eastAsia="zh-CN"/>
              </w:rPr>
              <w:t>成交竞选人</w:t>
            </w:r>
          </w:p>
        </w:tc>
        <w:tc>
          <w:tcPr>
            <w:tcW w:w="5500" w:type="dxa"/>
            <w:vAlign w:val="top"/>
          </w:tcPr>
          <w:p w14:paraId="5DE933BA">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□是</w:t>
            </w:r>
          </w:p>
          <w:p w14:paraId="1892FD1C">
            <w:pPr>
              <w:widowControl w:val="0"/>
              <w:kinsoku/>
              <w:autoSpaceDE/>
              <w:autoSpaceDN/>
              <w:adjustRightInd/>
              <w:snapToGrid/>
              <w:spacing w:line="400" w:lineRule="exact"/>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☑否</w:t>
            </w:r>
          </w:p>
        </w:tc>
      </w:tr>
      <w:tr w14:paraId="3FD2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6FF61CE6">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rPr>
              <w:t>7.6.1</w:t>
            </w:r>
          </w:p>
        </w:tc>
        <w:tc>
          <w:tcPr>
            <w:tcW w:w="1741" w:type="dxa"/>
            <w:vAlign w:val="center"/>
          </w:tcPr>
          <w:p w14:paraId="20F4B6F0">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rPr>
              <w:t>履约保证金</w:t>
            </w:r>
          </w:p>
        </w:tc>
        <w:tc>
          <w:tcPr>
            <w:tcW w:w="5500" w:type="dxa"/>
            <w:vAlign w:val="top"/>
          </w:tcPr>
          <w:p w14:paraId="4624822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是否要求</w:t>
            </w:r>
            <w:r>
              <w:rPr>
                <w:rFonts w:hint="eastAsia" w:ascii="方正仿宋_GBK" w:hAnsi="方正仿宋_GBK" w:eastAsia="方正仿宋_GBK" w:cs="方正仿宋_GBK"/>
                <w:color w:val="auto"/>
                <w:spacing w:val="-2"/>
                <w:sz w:val="21"/>
                <w:szCs w:val="21"/>
                <w:lang w:eastAsia="zh-CN"/>
              </w:rPr>
              <w:t>成交竞选人</w:t>
            </w:r>
            <w:r>
              <w:rPr>
                <w:rFonts w:hint="eastAsia" w:ascii="方正仿宋_GBK" w:hAnsi="方正仿宋_GBK" w:eastAsia="方正仿宋_GBK" w:cs="方正仿宋_GBK"/>
                <w:snapToGrid/>
                <w:color w:val="auto"/>
                <w:kern w:val="2"/>
                <w:szCs w:val="21"/>
                <w:highlight w:val="none"/>
                <w:lang w:val="en-US" w:eastAsia="zh-CN" w:bidi="ar-SA"/>
              </w:rPr>
              <w:t>提交履约保证金：</w:t>
            </w:r>
          </w:p>
          <w:p w14:paraId="4C8239E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□要求，履约保证金的形式：</w:t>
            </w:r>
          </w:p>
          <w:p w14:paraId="2632508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现金或保函</w:t>
            </w:r>
          </w:p>
          <w:p w14:paraId="0B05D16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履约保证金的金额：</w:t>
            </w:r>
          </w:p>
          <w:p w14:paraId="0B2956A5">
            <w:pPr>
              <w:pStyle w:val="6"/>
              <w:keepNext w:val="0"/>
              <w:keepLines w:val="0"/>
              <w:pageBreakBefore w:val="0"/>
              <w:widowControl w:val="0"/>
              <w:wordWrap/>
              <w:overflowPunct/>
              <w:topLinePunct w:val="0"/>
              <w:bidi w:val="0"/>
              <w:snapToGrid w:val="0"/>
              <w:spacing w:line="240" w:lineRule="auto"/>
              <w:rPr>
                <w:rFonts w:hint="eastAsia" w:ascii="方正仿宋_GBK" w:hAnsi="方正仿宋_GBK" w:eastAsia="方正仿宋_GBK" w:cs="方正仿宋_GBK"/>
                <w:color w:val="auto"/>
                <w:lang w:val="en-US" w:eastAsia="zh-CN"/>
              </w:rPr>
            </w:pPr>
            <w:r>
              <w:rPr>
                <w:rFonts w:hint="eastAsia" w:ascii="方正仿宋_GBK" w:hAnsi="方正仿宋_GBK" w:eastAsia="方正仿宋_GBK" w:cs="方正仿宋_GBK"/>
                <w:snapToGrid/>
                <w:color w:val="auto"/>
                <w:kern w:val="2"/>
                <w:szCs w:val="21"/>
                <w:highlight w:val="none"/>
                <w:lang w:val="en-US" w:eastAsia="zh-CN" w:bidi="ar-SA"/>
              </w:rPr>
              <w:t>☑不要求</w:t>
            </w:r>
          </w:p>
        </w:tc>
      </w:tr>
      <w:tr w14:paraId="0604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163" w:type="dxa"/>
            <w:vAlign w:val="center"/>
          </w:tcPr>
          <w:p w14:paraId="2A229D41">
            <w:pPr>
              <w:widowControl w:val="0"/>
              <w:spacing w:before="174" w:line="186" w:lineRule="auto"/>
              <w:jc w:val="center"/>
              <w:rPr>
                <w:rFonts w:hint="eastAsia" w:ascii="方正仿宋_GBK" w:hAnsi="方正仿宋_GBK" w:eastAsia="方正仿宋_GBK" w:cs="方正仿宋_GBK"/>
                <w:color w:val="auto"/>
                <w:spacing w:val="-2"/>
                <w:sz w:val="21"/>
                <w:szCs w:val="21"/>
                <w:lang w:eastAsia="zh-CN"/>
              </w:rPr>
            </w:pPr>
            <w:r>
              <w:rPr>
                <w:rFonts w:hint="eastAsia" w:ascii="方正仿宋_GBK" w:hAnsi="方正仿宋_GBK" w:eastAsia="方正仿宋_GBK" w:cs="方正仿宋_GBK"/>
                <w:color w:val="auto"/>
                <w:spacing w:val="-2"/>
                <w:sz w:val="21"/>
                <w:szCs w:val="21"/>
                <w:lang w:val="en-US" w:eastAsia="zh-CN"/>
              </w:rPr>
              <w:t>8</w:t>
            </w:r>
          </w:p>
        </w:tc>
        <w:tc>
          <w:tcPr>
            <w:tcW w:w="1741" w:type="dxa"/>
            <w:vAlign w:val="center"/>
          </w:tcPr>
          <w:p w14:paraId="4D1AE942">
            <w:pPr>
              <w:widowControl w:val="0"/>
              <w:spacing w:before="174" w:line="186" w:lineRule="auto"/>
              <w:jc w:val="center"/>
              <w:rPr>
                <w:rFonts w:hint="eastAsia" w:ascii="方正仿宋_GBK" w:hAnsi="方正仿宋_GBK" w:eastAsia="方正仿宋_GBK" w:cs="方正仿宋_GBK"/>
                <w:color w:val="auto"/>
                <w:spacing w:val="-2"/>
                <w:sz w:val="21"/>
                <w:szCs w:val="21"/>
                <w:lang w:val="en-US" w:eastAsia="zh-CN"/>
              </w:rPr>
            </w:pPr>
            <w:r>
              <w:rPr>
                <w:rFonts w:hint="eastAsia" w:ascii="方正仿宋_GBK" w:hAnsi="方正仿宋_GBK" w:eastAsia="方正仿宋_GBK" w:cs="方正仿宋_GBK"/>
                <w:color w:val="auto"/>
                <w:spacing w:val="-2"/>
                <w:sz w:val="21"/>
                <w:szCs w:val="21"/>
                <w:lang w:val="en-US" w:eastAsia="zh-CN"/>
              </w:rPr>
              <w:t>费用支付</w:t>
            </w:r>
          </w:p>
        </w:tc>
        <w:tc>
          <w:tcPr>
            <w:tcW w:w="5500" w:type="dxa"/>
            <w:vAlign w:val="top"/>
          </w:tcPr>
          <w:p w14:paraId="27C1494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（一）计价方式：本合同为固定总价包干合同，合同总价暂定为人民</w:t>
            </w:r>
            <w:r>
              <w:rPr>
                <w:rFonts w:hint="default" w:ascii="方正仿宋_GBK" w:hAnsi="方正仿宋_GBK" w:eastAsia="方正仿宋_GBK" w:cs="方正仿宋_GBK"/>
                <w:snapToGrid/>
                <w:color w:val="auto"/>
                <w:kern w:val="2"/>
                <w:szCs w:val="21"/>
                <w:highlight w:val="none"/>
                <w:lang w:val="en-US" w:eastAsia="zh-CN" w:bidi="ar-SA"/>
              </w:rPr>
              <w:t>币</w:t>
            </w:r>
            <w:r>
              <w:rPr>
                <w:rFonts w:hint="eastAsia" w:ascii="方正仿宋_GBK" w:hAnsi="方正仿宋_GBK" w:eastAsia="方正仿宋_GBK" w:cs="方正仿宋_GBK"/>
                <w:snapToGrid/>
                <w:color w:val="auto"/>
                <w:kern w:val="2"/>
                <w:szCs w:val="21"/>
                <w:highlight w:val="none"/>
                <w:lang w:val="en-US" w:eastAsia="zh-CN" w:bidi="ar-SA"/>
              </w:rPr>
              <w:t>281156.00元（大写：贰拾捌萬壹仟壹佰伍拾陆圆）。该价款已包含人工、材料、设备、运输、安装、调试、税费、管理费、利润、各类风险、增值税及完成本合同全部工作内容所需的一切费用。除合同另有书面约定的变更签证外，采购方无需另行支付其他任何费用。</w:t>
            </w:r>
          </w:p>
          <w:p w14:paraId="40A59DC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（二）合同结算原则</w:t>
            </w:r>
          </w:p>
          <w:p w14:paraId="1B239D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固定总价结算原则</w:t>
            </w:r>
          </w:p>
          <w:p w14:paraId="19355532">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（1）本合同采用固定总价包干方式的，合同总价不因人工、材料、机械价格涨跌、施工工艺变化、常规施工条件及市场行情波动而作任何调整。</w:t>
            </w:r>
          </w:p>
          <w:p w14:paraId="7DF8356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竞选人已充分踏勘现场、熟悉图纸及全部工作内容，总价已包含完成合同约定全部工程/服务/采购内容的所有成本、管理费、利润、措施费、规费、税金、运输装卸、安装调试、检测验收、风险费及所有配套零星费用。</w:t>
            </w:r>
          </w:p>
          <w:p w14:paraId="27B4AF6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（3）除经比选人书面确认的工程变更、现场签证及合同另有约定外，合同不作任何增、减项调整。</w:t>
            </w:r>
          </w:p>
          <w:p w14:paraId="32FDA62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（三）合同价款的支付</w:t>
            </w:r>
          </w:p>
          <w:p w14:paraId="09CC09C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3.1 除专用合同条款另有约定外，任何情况下，比选人在支付货款前，竞选人应满足以下全部付款前提条件，否则比选人有权拒绝支付，且不承担违约责任等任何责任：</w:t>
            </w:r>
          </w:p>
          <w:p w14:paraId="131EEFF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 竞选人按照合同文件要求、合同约定和比选人要求按时按质按量供货并提供相关服务。</w:t>
            </w:r>
          </w:p>
          <w:p w14:paraId="1A82214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 竞选人向比选人提供与支付货款金额相等的且满足比选人财务要求的增值税发票及合同载明的付款相关单据和材料，包括但不限于：</w:t>
            </w:r>
          </w:p>
          <w:p w14:paraId="787C727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双方签署的交货清单正本原件一份；</w:t>
            </w:r>
          </w:p>
          <w:p w14:paraId="7011A2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比选人认可的完税全额增值税发票正本一份；</w:t>
            </w:r>
          </w:p>
          <w:p w14:paraId="11553D5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制造商出具的货物出厂质量合格证、数量证明书、校准证书正本一份；</w:t>
            </w:r>
          </w:p>
          <w:p w14:paraId="677D0EA5">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双方约定的其他单据和资料。</w:t>
            </w:r>
          </w:p>
          <w:p w14:paraId="3D63FB4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双方约定的其他付款条件。</w:t>
            </w:r>
          </w:p>
          <w:p w14:paraId="6EA381A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（四）付款方式：</w:t>
            </w:r>
          </w:p>
          <w:p w14:paraId="5B1A4864">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4.1本项目不支付预付款。</w:t>
            </w:r>
          </w:p>
          <w:p w14:paraId="70F0F97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4.2在合同约定的付款前提条件全部满足后，比选人应按以下方式和比例向竞选人支付合同价款。</w:t>
            </w:r>
          </w:p>
          <w:p w14:paraId="06C05AE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竞选人完成供货，经比选人现场初步验收合格，比选人在收到竞选人提交的本合同约定和比选人要求的完整单据和资料(含符合要求的增值税发票)后，【15】个工作日内支付该批货物货款的【97】%,设备安装(比选人自行安装)调试完成，投入运行，经比选人最终验收合格，剩余3%作为质保金，在质保期满(1年)后一次性无息退还给竞选人。</w:t>
            </w:r>
          </w:p>
          <w:p w14:paraId="0553DC2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4.3银行费用</w:t>
            </w:r>
          </w:p>
          <w:p w14:paraId="04CC1385">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在比选人银行发生的费用由比选人负担，在竞选人银行发生的费用由竞选人负担。</w:t>
            </w:r>
          </w:p>
          <w:p w14:paraId="5CBEF875">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4.4除专用合同条款另有约定外，本合同支付均用人民币以【银行汇款】的方式，通过比选人开户银行与竞选人开户银行之间进行。竞选人与比选人签订合同时使用的“开户银行名称、帐户名称(简称户名)及账号”为双方确认的，且签订后非经比选人事先书面同意不得变更，否则比选人有权拒绝付款且不承担违约责任等任何责任，由此造成的一切后果、风险、损失、费用、责任等均由竞选人承担。</w:t>
            </w:r>
          </w:p>
          <w:p w14:paraId="750B57C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4.5比选人扣款的权利</w:t>
            </w:r>
          </w:p>
          <w:p w14:paraId="48CDEFD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当竞选人应向比选人支付合同项下的违约金、赔偿金、未补足的履约保证金和(或)其他款项时，比选人有权从任何一笔应付款和所有应付款中予以直接扣除和(或)兑付履约保证金和低价风险担保(如有),超出履约保证金、低价风险担保(如有)和所有应付款的部分，由竞选人继续承担。</w:t>
            </w:r>
          </w:p>
          <w:p w14:paraId="22DBB952">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（五）发票及税率</w:t>
            </w:r>
          </w:p>
          <w:p w14:paraId="2BD0D35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1.发票类型：乙方应向甲方开具符合国家税务规定的增值税专用发票/增值税普通发票。</w:t>
            </w:r>
          </w:p>
          <w:p w14:paraId="432976E2">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2.税率约定：本合同固定总价所包含的税金，对应增值税税率为</w:t>
            </w:r>
            <w:r>
              <w:rPr>
                <w:rFonts w:hint="eastAsia" w:ascii="方正仿宋_GBK" w:hAnsi="方正仿宋_GBK" w:eastAsia="方正仿宋_GBK" w:cs="方正仿宋_GBK"/>
                <w:snapToGrid/>
                <w:color w:val="auto"/>
                <w:kern w:val="2"/>
                <w:szCs w:val="21"/>
                <w:highlight w:val="none"/>
                <w:u w:val="single"/>
                <w:lang w:val="en-US" w:eastAsia="zh-CN" w:bidi="ar-SA"/>
              </w:rPr>
              <w:t xml:space="preserve">   </w:t>
            </w:r>
            <w:r>
              <w:rPr>
                <w:rFonts w:hint="eastAsia" w:ascii="方正仿宋_GBK" w:hAnsi="方正仿宋_GBK" w:eastAsia="方正仿宋_GBK" w:cs="方正仿宋_GBK"/>
                <w:snapToGrid/>
                <w:color w:val="auto"/>
                <w:kern w:val="2"/>
                <w:szCs w:val="21"/>
                <w:highlight w:val="none"/>
                <w:lang w:val="en-US" w:eastAsia="zh-CN" w:bidi="ar-SA"/>
              </w:rPr>
              <w:t>%；税率一经约定，履约期间不因国家税收政策调整以外的因素变更。若因国家税收政策调整导致税率变化，按新政策执行，合同总价不作额外调整（因税率调整产生的税额差额，纳入结算总价统一核算，仅针对政策调整部分据实调整，不涉及其他费用）。</w:t>
            </w:r>
          </w:p>
          <w:p w14:paraId="1EE83E4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方正仿宋_GBK" w:hAnsi="方正仿宋_GBK" w:eastAsia="方正仿宋_GBK" w:cs="方正仿宋_GBK"/>
                <w:snapToGrid/>
                <w:color w:val="auto"/>
                <w:kern w:val="2"/>
                <w:szCs w:val="21"/>
                <w:highlight w:val="none"/>
                <w:lang w:val="en-US" w:eastAsia="zh-CN" w:bidi="ar-SA"/>
              </w:rPr>
            </w:pPr>
            <w:r>
              <w:rPr>
                <w:rFonts w:hint="eastAsia" w:ascii="方正仿宋_GBK" w:hAnsi="方正仿宋_GBK" w:eastAsia="方正仿宋_GBK" w:cs="方正仿宋_GBK"/>
                <w:snapToGrid/>
                <w:color w:val="auto"/>
                <w:kern w:val="2"/>
                <w:szCs w:val="21"/>
                <w:highlight w:val="none"/>
                <w:lang w:val="en-US" w:eastAsia="zh-CN" w:bidi="ar-SA"/>
              </w:rPr>
              <w:t>3.发票要求：每次付款前乙方应向甲方开具合法有效且满足甲方要求的增值税专用/普通发票，如乙方未开具合格发票的，甲方有权拒绝付款且不承担任何责任。乙方开具的发票应明确载明项目名称、服务/货物名称、金额、税率、税额等信息，确保发票真实、合法、有效，且与合同约定、实际履约内容一致。若因乙方开具发票导致甲方进项税额无法抵扣或被税务机关要求转出的，乙方应在接到甲方通知后3个工作日内重新开具正确发票，并赔偿甲方因此产生的税款损失及滞纳金。</w:t>
            </w:r>
          </w:p>
        </w:tc>
      </w:tr>
      <w:tr w14:paraId="7FC7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0162D37A">
            <w:pPr>
              <w:widowControl w:val="0"/>
              <w:spacing w:before="174" w:line="186" w:lineRule="auto"/>
              <w:jc w:val="center"/>
              <w:rPr>
                <w:rFonts w:hint="eastAsia" w:ascii="方正仿宋_GBK" w:hAnsi="方正仿宋_GBK" w:eastAsia="方正仿宋_GBK" w:cs="方正仿宋_GBK"/>
                <w:color w:val="auto"/>
                <w:spacing w:val="-2"/>
                <w:sz w:val="21"/>
                <w:szCs w:val="21"/>
                <w:lang w:val="en-US" w:eastAsia="zh-CN"/>
              </w:rPr>
            </w:pPr>
            <w:r>
              <w:rPr>
                <w:rFonts w:hint="eastAsia" w:ascii="方正仿宋_GBK" w:hAnsi="方正仿宋_GBK" w:eastAsia="方正仿宋_GBK" w:cs="方正仿宋_GBK"/>
                <w:color w:val="auto"/>
                <w:spacing w:val="-2"/>
                <w:sz w:val="21"/>
                <w:szCs w:val="21"/>
                <w:lang w:val="en-US" w:eastAsia="zh-CN"/>
              </w:rPr>
              <w:t>9</w:t>
            </w:r>
          </w:p>
        </w:tc>
        <w:tc>
          <w:tcPr>
            <w:tcW w:w="1741" w:type="dxa"/>
            <w:vAlign w:val="center"/>
          </w:tcPr>
          <w:p w14:paraId="170414A8">
            <w:pPr>
              <w:widowControl w:val="0"/>
              <w:spacing w:before="174" w:line="186" w:lineRule="auto"/>
              <w:jc w:val="center"/>
              <w:rPr>
                <w:rFonts w:hint="eastAsia" w:ascii="方正仿宋_GBK" w:hAnsi="方正仿宋_GBK" w:eastAsia="方正仿宋_GBK" w:cs="方正仿宋_GBK"/>
                <w:color w:val="auto"/>
                <w:spacing w:val="-2"/>
                <w:sz w:val="21"/>
                <w:szCs w:val="21"/>
              </w:rPr>
            </w:pPr>
            <w:r>
              <w:rPr>
                <w:rFonts w:hint="eastAsia" w:ascii="方正仿宋_GBK" w:hAnsi="方正仿宋_GBK" w:eastAsia="方正仿宋_GBK" w:cs="方正仿宋_GBK"/>
                <w:color w:val="auto"/>
                <w:spacing w:val="-2"/>
                <w:sz w:val="21"/>
                <w:szCs w:val="21"/>
              </w:rPr>
              <w:t>需要补充的其他内容</w:t>
            </w:r>
          </w:p>
        </w:tc>
        <w:tc>
          <w:tcPr>
            <w:tcW w:w="5500" w:type="dxa"/>
            <w:vAlign w:val="top"/>
          </w:tcPr>
          <w:p w14:paraId="467E9630">
            <w:pPr>
              <w:widowControl w:val="0"/>
              <w:spacing w:before="60"/>
              <w:ind w:left="105" w:right="105"/>
              <w:contextualSpacing/>
              <w:rPr>
                <w:rFonts w:hint="eastAsia" w:ascii="方正仿宋_GBK" w:hAnsi="方正仿宋_GBK" w:eastAsia="方正仿宋_GBK" w:cs="方正仿宋_GBK"/>
              </w:rPr>
            </w:pPr>
            <w:r>
              <w:rPr>
                <w:rFonts w:hint="eastAsia" w:ascii="方正仿宋_GBK" w:hAnsi="方正仿宋_GBK" w:eastAsia="方正仿宋_GBK" w:cs="方正仿宋_GBK"/>
              </w:rPr>
              <w:t>1.重新比选（首次比选时适用）：</w:t>
            </w:r>
          </w:p>
          <w:p w14:paraId="71FD39AB">
            <w:pPr>
              <w:widowControl w:val="0"/>
              <w:spacing w:before="60"/>
              <w:ind w:left="105" w:right="105"/>
              <w:contextualSpacing/>
              <w:rPr>
                <w:rFonts w:hint="eastAsia" w:ascii="方正仿宋_GBK" w:hAnsi="方正仿宋_GBK" w:eastAsia="方正仿宋_GBK" w:cs="方正仿宋_GBK"/>
              </w:rPr>
            </w:pPr>
            <w:r>
              <w:rPr>
                <w:rFonts w:hint="eastAsia" w:ascii="方正仿宋_GBK" w:hAnsi="方正仿宋_GBK" w:eastAsia="方正仿宋_GBK" w:cs="方正仿宋_GBK"/>
              </w:rPr>
              <w:t>①竞选截止时间止，竞选人少于3个的；</w:t>
            </w:r>
          </w:p>
          <w:p w14:paraId="1138E4CB">
            <w:pPr>
              <w:widowControl w:val="0"/>
              <w:spacing w:before="60"/>
              <w:ind w:left="105" w:right="105"/>
              <w:contextualSpacing/>
              <w:rPr>
                <w:rFonts w:hint="eastAsia" w:ascii="方正仿宋_GBK" w:hAnsi="方正仿宋_GBK" w:eastAsia="方正仿宋_GBK" w:cs="方正仿宋_GBK"/>
              </w:rPr>
            </w:pPr>
            <w:r>
              <w:rPr>
                <w:rFonts w:hint="eastAsia" w:ascii="方正仿宋_GBK" w:hAnsi="方正仿宋_GBK" w:eastAsia="方正仿宋_GBK" w:cs="方正仿宋_GBK"/>
              </w:rPr>
              <w:t>②经评审小组评审后否决所有竞选人竞选文件的。</w:t>
            </w:r>
          </w:p>
          <w:p w14:paraId="27B5253F">
            <w:pPr>
              <w:widowControl w:val="0"/>
              <w:spacing w:before="60"/>
              <w:ind w:left="105" w:right="105"/>
              <w:contextualSpacing/>
              <w:rPr>
                <w:rFonts w:hint="eastAsia" w:ascii="方正仿宋_GBK" w:hAnsi="方正仿宋_GBK" w:eastAsia="方正仿宋_GBK" w:cs="方正仿宋_GBK"/>
              </w:rPr>
            </w:pPr>
            <w:r>
              <w:rPr>
                <w:rFonts w:hint="eastAsia" w:ascii="方正仿宋_GBK" w:hAnsi="方正仿宋_GBK" w:eastAsia="方正仿宋_GBK" w:cs="方正仿宋_GBK"/>
              </w:rPr>
              <w:t>2.二次比选或不再比选：</w:t>
            </w:r>
          </w:p>
          <w:p w14:paraId="73B3965B">
            <w:pPr>
              <w:widowControl w:val="0"/>
              <w:spacing w:before="60"/>
              <w:ind w:left="105" w:right="105"/>
              <w:contextualSpacing/>
              <w:rPr>
                <w:rFonts w:hint="eastAsia" w:ascii="方正仿宋_GBK" w:hAnsi="方正仿宋_GBK" w:eastAsia="方正仿宋_GBK" w:cs="方正仿宋_GBK"/>
                <w:color w:val="auto"/>
                <w:vertAlign w:val="baseline"/>
              </w:rPr>
            </w:pPr>
            <w:r>
              <w:rPr>
                <w:rFonts w:hint="eastAsia" w:ascii="方正仿宋_GBK" w:hAnsi="方正仿宋_GBK" w:eastAsia="方正仿宋_GBK" w:cs="方正仿宋_GBK"/>
              </w:rPr>
              <w:t>重新比选后竞选人仍少于3个，按法定程序开标和评审，确定成交人。经评审无合格成交人，属于必须审批或核准的项目，经原审批或核准部门批准后不再进行比选。</w:t>
            </w:r>
            <w:r>
              <w:rPr>
                <w:rFonts w:hint="eastAsia" w:ascii="方正仿宋_GBK" w:hAnsi="方正仿宋_GBK" w:eastAsia="方正仿宋_GBK" w:cs="方正仿宋_GBK"/>
                <w:lang w:val="en-US" w:eastAsia="zh-CN"/>
              </w:rPr>
              <w:t>3.竞选人参加比选时应持合法有效证件（身份证原件、法定（或授权）代表人证明文件原件）签到备查。</w:t>
            </w:r>
          </w:p>
        </w:tc>
      </w:tr>
    </w:tbl>
    <w:p w14:paraId="16C9072E">
      <w:pPr>
        <w:rPr>
          <w:rFonts w:cs="Times New Roman" w:asciiTheme="minorEastAsia" w:hAnsiTheme="minorEastAsia" w:eastAsiaTheme="minorEastAsia"/>
          <w:snapToGrid/>
          <w:color w:val="auto"/>
          <w:kern w:val="2"/>
          <w:highlight w:val="none"/>
          <w:lang w:val="en-US" w:eastAsia="zh-CN" w:bidi="ar-SA"/>
        </w:rPr>
      </w:pPr>
      <w:r>
        <w:rPr>
          <w:rFonts w:hint="eastAsia" w:ascii="方正仿宋_GBK" w:hAnsi="方正仿宋_GBK" w:eastAsia="方正仿宋_GBK" w:cs="方正仿宋_GBK"/>
          <w:snapToGrid/>
          <w:color w:val="auto"/>
          <w:kern w:val="2"/>
          <w:highlight w:val="none"/>
          <w:lang w:val="en-US" w:eastAsia="zh-CN" w:bidi="ar-SA"/>
        </w:rPr>
        <w:br w:type="page"/>
      </w:r>
    </w:p>
    <w:p w14:paraId="294F3BD2">
      <w:pPr>
        <w:pStyle w:val="3"/>
        <w:spacing w:before="0" w:after="0" w:line="240" w:lineRule="auto"/>
        <w:ind w:left="105" w:right="105"/>
        <w:contextualSpacing/>
        <w:rPr>
          <w:rFonts w:eastAsiaTheme="minorEastAsia"/>
        </w:rPr>
      </w:pPr>
      <w:bookmarkStart w:id="68" w:name="_Toc20195"/>
      <w:bookmarkStart w:id="69" w:name="_Toc492300620"/>
      <w:bookmarkStart w:id="70" w:name="_Toc30270"/>
      <w:r>
        <w:rPr>
          <w:rFonts w:hint="eastAsia" w:ascii="方正黑体_GBK" w:hAnsi="方正黑体_GBK" w:eastAsia="方正黑体_GBK" w:cs="Times New Roman"/>
        </w:rPr>
        <w:t>1.总则</w:t>
      </w:r>
    </w:p>
    <w:p w14:paraId="38C27ECD">
      <w:pPr>
        <w:pStyle w:val="4"/>
        <w:spacing w:before="0" w:after="0" w:line="240" w:lineRule="auto"/>
        <w:ind w:left="105" w:right="105"/>
        <w:contextualSpacing/>
        <w:rPr>
          <w:rFonts w:ascii="方正仿宋_GBK" w:hAnsi="方正仿宋_GBK" w:eastAsia="方正仿宋_GBK" w:cs="Times New Roman"/>
        </w:rPr>
      </w:pPr>
      <w:bookmarkStart w:id="71" w:name="_bookmark34"/>
      <w:bookmarkEnd w:id="71"/>
      <w:bookmarkStart w:id="72" w:name="_bookmark33"/>
      <w:bookmarkEnd w:id="72"/>
      <w:bookmarkStart w:id="73" w:name="_Toc173920556"/>
      <w:bookmarkStart w:id="74" w:name="_Toc172188051"/>
      <w:bookmarkStart w:id="75" w:name="_Toc172188062"/>
      <w:r>
        <w:rPr>
          <w:rFonts w:hint="eastAsia" w:ascii="方正仿宋_GBK" w:hAnsi="方正仿宋_GBK" w:eastAsia="方正仿宋_GBK" w:cs="Times New Roman"/>
        </w:rPr>
        <w:t>1.1 比选项目概况</w:t>
      </w:r>
      <w:bookmarkEnd w:id="73"/>
      <w:bookmarkEnd w:id="74"/>
    </w:p>
    <w:p w14:paraId="52128794">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1.1.1 根据有关法律、法规和规章的规定，本比选项目已具备比选条件</w:t>
      </w:r>
      <w:r>
        <w:rPr>
          <w:rFonts w:hint="eastAsia" w:ascii="方正仿宋_GBK" w:hAnsi="方正仿宋_GBK" w:eastAsia="方正仿宋_GBK" w:cs="Times New Roman"/>
        </w:rPr>
        <w:t>，</w:t>
      </w:r>
      <w:r>
        <w:rPr>
          <w:rFonts w:ascii="方正仿宋_GBK" w:hAnsi="方正仿宋_GBK" w:eastAsia="方正仿宋_GBK" w:cs="Times New Roman"/>
        </w:rPr>
        <w:t>现对</w:t>
      </w:r>
      <w:r>
        <w:rPr>
          <w:rFonts w:hint="eastAsia" w:ascii="方正仿宋_GBK" w:hAnsi="方正仿宋_GBK" w:eastAsia="方正仿宋_GBK" w:cs="Times New Roman"/>
        </w:rPr>
        <w:t>本项目</w:t>
      </w:r>
      <w:r>
        <w:rPr>
          <w:rFonts w:ascii="方正仿宋_GBK" w:hAnsi="方正仿宋_GBK" w:eastAsia="方正仿宋_GBK" w:cs="Times New Roman"/>
        </w:rPr>
        <w:t>进行比选。</w:t>
      </w:r>
    </w:p>
    <w:p w14:paraId="5A8F182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1.1.2  </w:t>
      </w:r>
      <w:r>
        <w:rPr>
          <w:rFonts w:hint="eastAsia" w:ascii="方正仿宋_GBK" w:hAnsi="方正仿宋_GBK" w:eastAsia="方正仿宋_GBK" w:cs="Times New Roman"/>
        </w:rPr>
        <w:t>比选人：</w:t>
      </w:r>
      <w:r>
        <w:rPr>
          <w:rFonts w:ascii="方正仿宋_GBK" w:hAnsi="方正仿宋_GBK" w:eastAsia="方正仿宋_GBK" w:cs="Times New Roman"/>
        </w:rPr>
        <w:t>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202843CE">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1.1.3  比选代理机构：见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4A26A61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1.1.4</w:t>
      </w:r>
      <w:r>
        <w:rPr>
          <w:rFonts w:hint="eastAsia" w:ascii="方正仿宋_GBK" w:hAnsi="方正仿宋_GBK" w:eastAsia="方正仿宋_GBK" w:cs="Times New Roman"/>
        </w:rPr>
        <w:t xml:space="preserve"> </w:t>
      </w:r>
      <w:r>
        <w:rPr>
          <w:rFonts w:ascii="方正仿宋_GBK" w:hAnsi="方正仿宋_GBK" w:eastAsia="方正仿宋_GBK" w:cs="Times New Roman"/>
        </w:rPr>
        <w:t xml:space="preserve"> 比选项目名称：见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28AF0425">
      <w:pPr>
        <w:pStyle w:val="4"/>
        <w:spacing w:before="0" w:after="0" w:line="240" w:lineRule="auto"/>
        <w:ind w:left="105" w:right="105"/>
        <w:contextualSpacing/>
        <w:rPr>
          <w:rFonts w:ascii="方正仿宋_GBK" w:hAnsi="方正仿宋_GBK" w:eastAsia="方正仿宋_GBK" w:cs="Times New Roman"/>
        </w:rPr>
      </w:pPr>
      <w:bookmarkStart w:id="76" w:name="_Toc173920557"/>
      <w:bookmarkStart w:id="77" w:name="_Toc172188052"/>
      <w:r>
        <w:rPr>
          <w:rFonts w:hint="eastAsia" w:ascii="方正仿宋_GBK" w:hAnsi="方正仿宋_GBK" w:eastAsia="方正仿宋_GBK" w:cs="Times New Roman"/>
        </w:rPr>
        <w:t>1.2 比选项目的资金来源和落实情况</w:t>
      </w:r>
      <w:bookmarkEnd w:id="76"/>
      <w:bookmarkEnd w:id="77"/>
    </w:p>
    <w:p w14:paraId="4A3DF2A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1.2.1  资金来源及比例</w:t>
      </w:r>
      <w:r>
        <w:rPr>
          <w:rFonts w:hint="eastAsia" w:ascii="方正仿宋_GBK" w:hAnsi="方正仿宋_GBK" w:eastAsia="方正仿宋_GBK" w:cs="Times New Roman"/>
        </w:rPr>
        <w:t>：</w:t>
      </w:r>
      <w:r>
        <w:rPr>
          <w:rFonts w:ascii="方正仿宋_GBK" w:hAnsi="方正仿宋_GBK" w:eastAsia="方正仿宋_GBK" w:cs="Times New Roman"/>
        </w:rPr>
        <w:t>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78073B05">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1.2.2  资金落实情况：见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0DACFF02">
      <w:pPr>
        <w:pStyle w:val="4"/>
        <w:spacing w:before="0" w:after="0" w:line="240" w:lineRule="auto"/>
        <w:ind w:left="105" w:right="105"/>
        <w:contextualSpacing/>
        <w:rPr>
          <w:rFonts w:ascii="方正仿宋_GBK" w:hAnsi="方正仿宋_GBK" w:eastAsia="方正仿宋_GBK" w:cs="Times New Roman"/>
        </w:rPr>
      </w:pPr>
      <w:bookmarkStart w:id="78" w:name="_Toc172188053"/>
      <w:bookmarkStart w:id="79" w:name="_Toc173920558"/>
      <w:r>
        <w:rPr>
          <w:rFonts w:hint="eastAsia" w:ascii="方正仿宋_GBK" w:hAnsi="方正仿宋_GBK" w:eastAsia="方正仿宋_GBK" w:cs="Times New Roman"/>
        </w:rPr>
        <w:t>1.3 比选范围、期限、项目地点和技术性能指标</w:t>
      </w:r>
      <w:bookmarkEnd w:id="78"/>
      <w:bookmarkEnd w:id="79"/>
    </w:p>
    <w:p w14:paraId="56ECD00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1.3.1  比选范围：见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497FF8E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1.3.2  期</w:t>
      </w:r>
      <w:r>
        <w:rPr>
          <w:rFonts w:hint="eastAsia" w:ascii="方正仿宋_GBK" w:hAnsi="方正仿宋_GBK" w:eastAsia="方正仿宋_GBK" w:cs="Times New Roman"/>
        </w:rPr>
        <w:t>限：</w:t>
      </w:r>
      <w:r>
        <w:rPr>
          <w:rFonts w:ascii="方正仿宋_GBK" w:hAnsi="方正仿宋_GBK" w:eastAsia="方正仿宋_GBK" w:cs="Times New Roman"/>
        </w:rPr>
        <w:t>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699302D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1.3.3  </w:t>
      </w:r>
      <w:r>
        <w:rPr>
          <w:rFonts w:hint="eastAsia" w:ascii="方正仿宋_GBK" w:hAnsi="方正仿宋_GBK" w:eastAsia="方正仿宋_GBK" w:cs="Times New Roman"/>
        </w:rPr>
        <w:t>项目</w:t>
      </w:r>
      <w:r>
        <w:rPr>
          <w:rFonts w:ascii="方正仿宋_GBK" w:hAnsi="方正仿宋_GBK" w:eastAsia="方正仿宋_GBK" w:cs="Times New Roman"/>
        </w:rPr>
        <w:t>地点：见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40C0293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1.3.4  技术性能指标：见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608D0786">
      <w:pPr>
        <w:pStyle w:val="4"/>
        <w:spacing w:before="0" w:after="0" w:line="240" w:lineRule="auto"/>
        <w:ind w:left="105" w:right="105"/>
        <w:contextualSpacing/>
        <w:rPr>
          <w:rFonts w:ascii="方正仿宋_GBK" w:hAnsi="方正仿宋_GBK" w:eastAsia="方正仿宋_GBK" w:cs="Times New Roman"/>
        </w:rPr>
      </w:pPr>
      <w:bookmarkStart w:id="80" w:name="_Toc173920559"/>
      <w:bookmarkStart w:id="81" w:name="_Toc172188054"/>
      <w:r>
        <w:rPr>
          <w:rFonts w:hint="eastAsia" w:ascii="方正仿宋_GBK" w:hAnsi="方正仿宋_GBK" w:eastAsia="方正仿宋_GBK" w:cs="Times New Roman"/>
        </w:rPr>
        <w:t>1.4 竞选人资格要求</w:t>
      </w:r>
      <w:bookmarkEnd w:id="80"/>
      <w:bookmarkEnd w:id="81"/>
    </w:p>
    <w:p w14:paraId="680A105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1.4.1  </w:t>
      </w:r>
      <w:r>
        <w:rPr>
          <w:rFonts w:hint="eastAsia" w:ascii="方正仿宋_GBK" w:hAnsi="方正仿宋_GBK" w:eastAsia="方正仿宋_GBK" w:cs="Times New Roman"/>
        </w:rPr>
        <w:t>竞选人</w:t>
      </w:r>
      <w:r>
        <w:rPr>
          <w:rFonts w:ascii="方正仿宋_GBK" w:hAnsi="方正仿宋_GBK" w:eastAsia="方正仿宋_GBK" w:cs="Times New Roman"/>
        </w:rPr>
        <w:t>应具备承担本比选项目资质条件、能力和信誉：</w:t>
      </w:r>
    </w:p>
    <w:p w14:paraId="46FC4C8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（1）资质要求：见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260F5156">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（2）财务要求：见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7D26788D">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（3）业绩要求：见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2651EA5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（4）信誉要求：见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546185A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（5）其他要求：见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50D69819">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1.4.2 </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须知前附表规定接受联合体竞选的</w:t>
      </w:r>
      <w:r>
        <w:rPr>
          <w:rFonts w:hint="eastAsia" w:ascii="方正仿宋_GBK" w:hAnsi="方正仿宋_GBK" w:eastAsia="方正仿宋_GBK" w:cs="Times New Roman"/>
        </w:rPr>
        <w:t>，</w:t>
      </w:r>
      <w:r>
        <w:rPr>
          <w:rFonts w:ascii="方正仿宋_GBK" w:hAnsi="方正仿宋_GBK" w:eastAsia="方正仿宋_GBK" w:cs="Times New Roman"/>
        </w:rPr>
        <w:t>联合体除应符合本章第1.4.1 项和</w:t>
      </w:r>
      <w:r>
        <w:rPr>
          <w:rFonts w:hint="eastAsia" w:ascii="方正仿宋_GBK" w:hAnsi="方正仿宋_GBK" w:eastAsia="方正仿宋_GBK" w:cs="Times New Roman"/>
        </w:rPr>
        <w:t>竞选人</w:t>
      </w:r>
      <w:r>
        <w:rPr>
          <w:rFonts w:ascii="方正仿宋_GBK" w:hAnsi="方正仿宋_GBK" w:eastAsia="方正仿宋_GBK" w:cs="Times New Roman"/>
        </w:rPr>
        <w:t>须知前附表的要求外，还应遵守以下规定：</w:t>
      </w:r>
    </w:p>
    <w:p w14:paraId="616EF7C3">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（1）联合体各方应按</w:t>
      </w:r>
      <w:r>
        <w:rPr>
          <w:rFonts w:hint="eastAsia" w:ascii="方正仿宋_GBK" w:hAnsi="方正仿宋_GBK" w:eastAsia="方正仿宋_GBK" w:cs="Times New Roman"/>
        </w:rPr>
        <w:t>比选文件</w:t>
      </w:r>
      <w:r>
        <w:rPr>
          <w:rFonts w:ascii="方正仿宋_GBK" w:hAnsi="方正仿宋_GBK" w:eastAsia="方正仿宋_GBK" w:cs="Times New Roman"/>
        </w:rPr>
        <w:t>提供的格式签订联合体协议书，明确联合体牵头人和各方权利义务，并承诺就</w:t>
      </w:r>
      <w:r>
        <w:rPr>
          <w:rFonts w:hint="eastAsia" w:ascii="方正仿宋_GBK" w:hAnsi="方正仿宋_GBK" w:eastAsia="方正仿宋_GBK" w:cs="Times New Roman"/>
        </w:rPr>
        <w:t>成交</w:t>
      </w:r>
      <w:r>
        <w:rPr>
          <w:rFonts w:ascii="方正仿宋_GBK" w:hAnsi="方正仿宋_GBK" w:eastAsia="方正仿宋_GBK" w:cs="Times New Roman"/>
        </w:rPr>
        <w:t>项目向</w:t>
      </w:r>
      <w:r>
        <w:rPr>
          <w:rFonts w:hint="eastAsia" w:ascii="方正仿宋_GBK" w:hAnsi="方正仿宋_GBK" w:eastAsia="方正仿宋_GBK" w:cs="Times New Roman"/>
        </w:rPr>
        <w:t>比选人</w:t>
      </w:r>
      <w:r>
        <w:rPr>
          <w:rFonts w:ascii="方正仿宋_GBK" w:hAnsi="方正仿宋_GBK" w:eastAsia="方正仿宋_GBK" w:cs="Times New Roman"/>
        </w:rPr>
        <w:t>承担连带责任；</w:t>
      </w:r>
    </w:p>
    <w:p w14:paraId="09BC7D4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（2）由同一专业的单位组成的联合体，按照资质等级较低的单位确定资质等级；</w:t>
      </w:r>
    </w:p>
    <w:p w14:paraId="4850F6B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（3）联合体各方不得再以自己名义单独或参加其他联合体在本比选项目中竞选，否则各相关竞选均无效。</w:t>
      </w:r>
    </w:p>
    <w:p w14:paraId="135F6AE0">
      <w:pPr>
        <w:ind w:left="105" w:right="105" w:firstLine="420" w:firstLineChars="200"/>
        <w:contextualSpacing/>
        <w:outlineLvl w:val="3"/>
        <w:rPr>
          <w:rFonts w:ascii="方正仿宋_GBK" w:hAnsi="方正仿宋_GBK" w:eastAsia="方正仿宋_GBK" w:cs="Times New Roman"/>
        </w:rPr>
      </w:pPr>
      <w:r>
        <w:rPr>
          <w:rFonts w:ascii="方正仿宋_GBK" w:hAnsi="方正仿宋_GBK" w:eastAsia="方正仿宋_GBK" w:cs="Times New Roman"/>
        </w:rPr>
        <w:t xml:space="preserve">1.4.3  </w:t>
      </w:r>
      <w:r>
        <w:rPr>
          <w:rFonts w:hint="eastAsia" w:ascii="方正仿宋_GBK" w:hAnsi="方正仿宋_GBK" w:eastAsia="方正仿宋_GBK" w:cs="Times New Roman"/>
        </w:rPr>
        <w:t>竞选人</w:t>
      </w:r>
      <w:r>
        <w:rPr>
          <w:rFonts w:ascii="方正仿宋_GBK" w:hAnsi="方正仿宋_GBK" w:eastAsia="方正仿宋_GBK" w:cs="Times New Roman"/>
        </w:rPr>
        <w:t>不得存在下列情形之一：</w:t>
      </w:r>
    </w:p>
    <w:p w14:paraId="32B6CA5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（1）与</w:t>
      </w:r>
      <w:r>
        <w:rPr>
          <w:rFonts w:hint="eastAsia" w:ascii="方正仿宋_GBK" w:hAnsi="方正仿宋_GBK" w:eastAsia="方正仿宋_GBK" w:cs="Times New Roman"/>
        </w:rPr>
        <w:t>比选人</w:t>
      </w:r>
      <w:r>
        <w:rPr>
          <w:rFonts w:ascii="方正仿宋_GBK" w:hAnsi="方正仿宋_GBK" w:eastAsia="方正仿宋_GBK" w:cs="Times New Roman"/>
        </w:rPr>
        <w:t>存在利害关系且可能影响比选公正性；</w:t>
      </w:r>
    </w:p>
    <w:p w14:paraId="3422F39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（2）与本比选项目的其他</w:t>
      </w:r>
      <w:r>
        <w:rPr>
          <w:rFonts w:hint="eastAsia" w:ascii="方正仿宋_GBK" w:hAnsi="方正仿宋_GBK" w:eastAsia="方正仿宋_GBK" w:cs="Times New Roman"/>
        </w:rPr>
        <w:t>竞选人</w:t>
      </w:r>
      <w:r>
        <w:rPr>
          <w:rFonts w:ascii="方正仿宋_GBK" w:hAnsi="方正仿宋_GBK" w:eastAsia="方正仿宋_GBK" w:cs="Times New Roman"/>
        </w:rPr>
        <w:t>为同一个单位负责人；</w:t>
      </w:r>
    </w:p>
    <w:p w14:paraId="7497B20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（3）与本比选项目的其他</w:t>
      </w:r>
      <w:r>
        <w:rPr>
          <w:rFonts w:hint="eastAsia" w:ascii="方正仿宋_GBK" w:hAnsi="方正仿宋_GBK" w:eastAsia="方正仿宋_GBK" w:cs="Times New Roman"/>
        </w:rPr>
        <w:t>竞选人</w:t>
      </w:r>
      <w:r>
        <w:rPr>
          <w:rFonts w:ascii="方正仿宋_GBK" w:hAnsi="方正仿宋_GBK" w:eastAsia="方正仿宋_GBK" w:cs="Times New Roman"/>
        </w:rPr>
        <w:t>存在控股、管理关系；</w:t>
      </w:r>
    </w:p>
    <w:p w14:paraId="62B8A123">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4</w:t>
      </w:r>
      <w:r>
        <w:rPr>
          <w:rFonts w:ascii="方正仿宋_GBK" w:hAnsi="方正仿宋_GBK" w:eastAsia="方正仿宋_GBK" w:cs="Times New Roman"/>
        </w:rPr>
        <w:t>）被依法暂停或者取消竞选资格；</w:t>
      </w:r>
    </w:p>
    <w:p w14:paraId="22D466A2">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5</w:t>
      </w:r>
      <w:r>
        <w:rPr>
          <w:rFonts w:ascii="方正仿宋_GBK" w:hAnsi="方正仿宋_GBK" w:eastAsia="方正仿宋_GBK" w:cs="Times New Roman"/>
        </w:rPr>
        <w:t>）被责令停产停业、暂扣或者吊销许可证、暂扣或者吊销执照；</w:t>
      </w:r>
    </w:p>
    <w:p w14:paraId="2EF972D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6</w:t>
      </w:r>
      <w:r>
        <w:rPr>
          <w:rFonts w:ascii="方正仿宋_GBK" w:hAnsi="方正仿宋_GBK" w:eastAsia="方正仿宋_GBK" w:cs="Times New Roman"/>
        </w:rPr>
        <w:t>）进入清算程序，或被宣告破产，或其他丧失履约能力的情形；</w:t>
      </w:r>
    </w:p>
    <w:p w14:paraId="2CC6846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7</w:t>
      </w:r>
      <w:r>
        <w:rPr>
          <w:rFonts w:ascii="方正仿宋_GBK" w:hAnsi="方正仿宋_GBK" w:eastAsia="方正仿宋_GBK" w:cs="Times New Roman"/>
        </w:rPr>
        <w:t>）在最近三年内发生重大质量问题（以相关行业主管部门的行政处罚决定或司法机关出具的有关法律文书为准）；</w:t>
      </w:r>
    </w:p>
    <w:p w14:paraId="72E28F3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8</w:t>
      </w:r>
      <w:r>
        <w:rPr>
          <w:rFonts w:ascii="方正仿宋_GBK" w:hAnsi="方正仿宋_GBK" w:eastAsia="方正仿宋_GBK" w:cs="Times New Roman"/>
        </w:rPr>
        <w:t>）被工商行政管理机关在全国企业信用信息公示系统中列入严重违法失信企业名单</w:t>
      </w:r>
      <w:r>
        <w:rPr>
          <w:rFonts w:hint="eastAsia" w:ascii="方正仿宋_GBK" w:hAnsi="方正仿宋_GBK" w:eastAsia="方正仿宋_GBK" w:cs="Times New Roman"/>
        </w:rPr>
        <w:t>；</w:t>
      </w:r>
    </w:p>
    <w:p w14:paraId="6AD754D5">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9</w:t>
      </w:r>
      <w:r>
        <w:rPr>
          <w:rFonts w:ascii="方正仿宋_GBK" w:hAnsi="方正仿宋_GBK" w:eastAsia="方正仿宋_GBK" w:cs="Times New Roman"/>
        </w:rPr>
        <w:t>）被最高人民法院在“信用中国”网站（www.creditchina.gov.cn）或各级信用信息共享平台中列入失信被执行人名单；</w:t>
      </w:r>
    </w:p>
    <w:p w14:paraId="6150D0F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10</w:t>
      </w:r>
      <w:r>
        <w:rPr>
          <w:rFonts w:ascii="方正仿宋_GBK" w:hAnsi="方正仿宋_GBK" w:eastAsia="方正仿宋_GBK" w:cs="Times New Roman"/>
        </w:rPr>
        <w:t>）在近三年内</w:t>
      </w:r>
      <w:r>
        <w:rPr>
          <w:rFonts w:hint="eastAsia" w:ascii="方正仿宋_GBK" w:hAnsi="方正仿宋_GBK" w:eastAsia="方正仿宋_GBK" w:cs="Times New Roman"/>
        </w:rPr>
        <w:t>竞选人</w:t>
      </w:r>
      <w:r>
        <w:rPr>
          <w:rFonts w:ascii="方正仿宋_GBK" w:hAnsi="方正仿宋_GBK" w:eastAsia="方正仿宋_GBK" w:cs="Times New Roman"/>
        </w:rPr>
        <w:t>或其法定代表人、拟委任的项目负责人有行贿犯罪行为的（以检察机关职务犯罪预防部门出具的查询结果为准）；</w:t>
      </w:r>
    </w:p>
    <w:p w14:paraId="57370D7F">
      <w:pPr>
        <w:ind w:left="105" w:right="105" w:firstLine="420" w:firstLineChars="200"/>
        <w:contextualSpacing/>
        <w:outlineLvl w:val="4"/>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11</w:t>
      </w:r>
      <w:r>
        <w:rPr>
          <w:rFonts w:ascii="方正仿宋_GBK" w:hAnsi="方正仿宋_GBK" w:eastAsia="方正仿宋_GBK" w:cs="Times New Roman"/>
        </w:rPr>
        <w:t>）法律法规或</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须知前附表规定的其他情形。</w:t>
      </w:r>
    </w:p>
    <w:p w14:paraId="37595827">
      <w:pPr>
        <w:pStyle w:val="4"/>
        <w:spacing w:before="0" w:after="0" w:line="240" w:lineRule="auto"/>
        <w:ind w:left="105" w:right="105"/>
        <w:contextualSpacing/>
        <w:rPr>
          <w:rFonts w:ascii="方正仿宋_GBK" w:hAnsi="方正仿宋_GBK" w:eastAsia="方正仿宋_GBK" w:cs="Times New Roman"/>
        </w:rPr>
      </w:pPr>
      <w:bookmarkStart w:id="82" w:name="_Toc173920560"/>
      <w:bookmarkStart w:id="83" w:name="_Toc172188055"/>
      <w:r>
        <w:rPr>
          <w:rFonts w:hint="eastAsia" w:ascii="方正仿宋_GBK" w:hAnsi="方正仿宋_GBK" w:eastAsia="方正仿宋_GBK" w:cs="Times New Roman"/>
        </w:rPr>
        <w:t>1.5 费用承担</w:t>
      </w:r>
      <w:bookmarkEnd w:id="82"/>
      <w:bookmarkEnd w:id="83"/>
    </w:p>
    <w:p w14:paraId="04781902">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竞选人</w:t>
      </w:r>
      <w:r>
        <w:rPr>
          <w:rFonts w:ascii="方正仿宋_GBK" w:hAnsi="方正仿宋_GBK" w:eastAsia="方正仿宋_GBK" w:cs="Times New Roman"/>
        </w:rPr>
        <w:t>准备和参加竞选活动发生的费用自理。</w:t>
      </w:r>
    </w:p>
    <w:p w14:paraId="476C781E">
      <w:pPr>
        <w:pStyle w:val="4"/>
        <w:spacing w:before="0" w:after="0" w:line="240" w:lineRule="auto"/>
        <w:ind w:left="105" w:right="105"/>
        <w:contextualSpacing/>
        <w:rPr>
          <w:rFonts w:ascii="方正仿宋_GBK" w:hAnsi="方正仿宋_GBK" w:eastAsia="方正仿宋_GBK" w:cs="Times New Roman"/>
        </w:rPr>
      </w:pPr>
      <w:bookmarkStart w:id="84" w:name="_Toc173920561"/>
      <w:bookmarkStart w:id="85" w:name="_Toc172188056"/>
      <w:r>
        <w:rPr>
          <w:rFonts w:hint="eastAsia" w:ascii="方正仿宋_GBK" w:hAnsi="方正仿宋_GBK" w:eastAsia="方正仿宋_GBK" w:cs="Times New Roman"/>
        </w:rPr>
        <w:t>1.6 保密</w:t>
      </w:r>
      <w:bookmarkEnd w:id="84"/>
      <w:bookmarkEnd w:id="85"/>
    </w:p>
    <w:p w14:paraId="77E253FE">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参与比选竞选活动的各方应对</w:t>
      </w:r>
      <w:r>
        <w:rPr>
          <w:rFonts w:hint="eastAsia" w:ascii="方正仿宋_GBK" w:hAnsi="方正仿宋_GBK" w:eastAsia="方正仿宋_GBK" w:cs="Times New Roman"/>
        </w:rPr>
        <w:t>比选文件</w:t>
      </w:r>
      <w:r>
        <w:rPr>
          <w:rFonts w:ascii="方正仿宋_GBK" w:hAnsi="方正仿宋_GBK" w:eastAsia="方正仿宋_GBK" w:cs="Times New Roman"/>
        </w:rPr>
        <w:t>和</w:t>
      </w:r>
      <w:r>
        <w:rPr>
          <w:rFonts w:hint="eastAsia" w:ascii="方正仿宋_GBK" w:hAnsi="方正仿宋_GBK" w:eastAsia="方正仿宋_GBK" w:cs="Times New Roman"/>
        </w:rPr>
        <w:t>竞选文件</w:t>
      </w:r>
      <w:r>
        <w:rPr>
          <w:rFonts w:ascii="方正仿宋_GBK" w:hAnsi="方正仿宋_GBK" w:eastAsia="方正仿宋_GBK" w:cs="Times New Roman"/>
        </w:rPr>
        <w:t>中的商业和技术等秘密保密，否则应承担相应的法律责任。</w:t>
      </w:r>
    </w:p>
    <w:p w14:paraId="181A5B60">
      <w:pPr>
        <w:pStyle w:val="4"/>
        <w:spacing w:before="0" w:after="0" w:line="240" w:lineRule="auto"/>
        <w:ind w:left="105" w:right="105"/>
        <w:contextualSpacing/>
        <w:rPr>
          <w:rFonts w:ascii="方正仿宋_GBK" w:hAnsi="方正仿宋_GBK" w:eastAsia="方正仿宋_GBK" w:cs="Times New Roman"/>
        </w:rPr>
      </w:pPr>
      <w:bookmarkStart w:id="86" w:name="_Toc172188057"/>
      <w:bookmarkStart w:id="87" w:name="_Toc173920562"/>
      <w:r>
        <w:rPr>
          <w:rFonts w:hint="eastAsia" w:ascii="方正仿宋_GBK" w:hAnsi="方正仿宋_GBK" w:eastAsia="方正仿宋_GBK" w:cs="Times New Roman"/>
        </w:rPr>
        <w:t>1.7 语言文字</w:t>
      </w:r>
      <w:bookmarkEnd w:id="86"/>
      <w:bookmarkEnd w:id="87"/>
    </w:p>
    <w:p w14:paraId="46B0523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比选</w:t>
      </w:r>
      <w:r>
        <w:rPr>
          <w:rFonts w:hint="eastAsia" w:ascii="方正仿宋_GBK" w:hAnsi="方正仿宋_GBK" w:eastAsia="方正仿宋_GBK" w:cs="Times New Roman"/>
        </w:rPr>
        <w:t>竞选文件</w:t>
      </w:r>
      <w:r>
        <w:rPr>
          <w:rFonts w:ascii="方正仿宋_GBK" w:hAnsi="方正仿宋_GBK" w:eastAsia="方正仿宋_GBK" w:cs="Times New Roman"/>
        </w:rPr>
        <w:t>使用的语言文字为中文。专用术语使用外文的</w:t>
      </w:r>
      <w:r>
        <w:rPr>
          <w:rFonts w:hint="eastAsia" w:ascii="方正仿宋_GBK" w:hAnsi="方正仿宋_GBK" w:eastAsia="方正仿宋_GBK" w:cs="Times New Roman"/>
        </w:rPr>
        <w:t>，</w:t>
      </w:r>
      <w:r>
        <w:rPr>
          <w:rFonts w:ascii="方正仿宋_GBK" w:hAnsi="方正仿宋_GBK" w:eastAsia="方正仿宋_GBK" w:cs="Times New Roman"/>
        </w:rPr>
        <w:t>应附有中文注释。</w:t>
      </w:r>
    </w:p>
    <w:p w14:paraId="517B8743">
      <w:pPr>
        <w:pStyle w:val="4"/>
        <w:spacing w:before="0" w:after="0" w:line="240" w:lineRule="auto"/>
        <w:ind w:left="105" w:right="105"/>
        <w:contextualSpacing/>
        <w:rPr>
          <w:rFonts w:ascii="方正仿宋_GBK" w:hAnsi="方正仿宋_GBK" w:eastAsia="方正仿宋_GBK" w:cs="Times New Roman"/>
        </w:rPr>
      </w:pPr>
      <w:bookmarkStart w:id="88" w:name="_Toc172188058"/>
      <w:bookmarkStart w:id="89" w:name="_Toc173920563"/>
      <w:r>
        <w:rPr>
          <w:rFonts w:hint="eastAsia" w:ascii="方正仿宋_GBK" w:hAnsi="方正仿宋_GBK" w:eastAsia="方正仿宋_GBK" w:cs="Times New Roman"/>
        </w:rPr>
        <w:t>1.8 计量单位</w:t>
      </w:r>
      <w:bookmarkEnd w:id="88"/>
      <w:bookmarkEnd w:id="89"/>
    </w:p>
    <w:p w14:paraId="555F0A2D">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所有计量均采用中华人民共和国法定计量单位。</w:t>
      </w:r>
    </w:p>
    <w:p w14:paraId="3B814E58">
      <w:pPr>
        <w:pStyle w:val="4"/>
        <w:spacing w:before="0" w:after="0" w:line="240" w:lineRule="auto"/>
        <w:ind w:left="105" w:right="105"/>
        <w:contextualSpacing/>
        <w:rPr>
          <w:rFonts w:ascii="方正仿宋_GBK" w:hAnsi="方正仿宋_GBK" w:eastAsia="方正仿宋_GBK" w:cs="Times New Roman"/>
        </w:rPr>
      </w:pPr>
      <w:bookmarkStart w:id="90" w:name="_Toc173920564"/>
      <w:bookmarkStart w:id="91" w:name="_Toc172188059"/>
      <w:r>
        <w:rPr>
          <w:rFonts w:hint="eastAsia" w:ascii="方正仿宋_GBK" w:hAnsi="方正仿宋_GBK" w:eastAsia="方正仿宋_GBK" w:cs="Times New Roman"/>
        </w:rPr>
        <w:t>1.9 竞选预备会</w:t>
      </w:r>
      <w:bookmarkEnd w:id="90"/>
      <w:bookmarkEnd w:id="91"/>
    </w:p>
    <w:p w14:paraId="75DAF776">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1.9.1  </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须知前附表规定召开竞选预备会的</w:t>
      </w:r>
      <w:r>
        <w:rPr>
          <w:rFonts w:hint="eastAsia" w:ascii="方正仿宋_GBK" w:hAnsi="方正仿宋_GBK" w:eastAsia="方正仿宋_GBK" w:cs="Times New Roman"/>
        </w:rPr>
        <w:t>，比选人</w:t>
      </w:r>
      <w:r>
        <w:rPr>
          <w:rFonts w:ascii="方正仿宋_GBK" w:hAnsi="方正仿宋_GBK" w:eastAsia="方正仿宋_GBK" w:cs="Times New Roman"/>
        </w:rPr>
        <w:t>按</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须知前附表规定的时间和地点召开竞选预备会，澄清</w:t>
      </w:r>
      <w:r>
        <w:rPr>
          <w:rFonts w:hint="eastAsia" w:ascii="方正仿宋_GBK" w:hAnsi="方正仿宋_GBK" w:eastAsia="方正仿宋_GBK" w:cs="Times New Roman"/>
        </w:rPr>
        <w:t>竞选人</w:t>
      </w:r>
      <w:r>
        <w:rPr>
          <w:rFonts w:ascii="方正仿宋_GBK" w:hAnsi="方正仿宋_GBK" w:eastAsia="方正仿宋_GBK" w:cs="Times New Roman"/>
        </w:rPr>
        <w:t>提出的问题。</w:t>
      </w:r>
    </w:p>
    <w:p w14:paraId="558C725E">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1.9.2  </w:t>
      </w:r>
      <w:r>
        <w:rPr>
          <w:rFonts w:hint="eastAsia" w:ascii="方正仿宋_GBK" w:hAnsi="方正仿宋_GBK" w:eastAsia="方正仿宋_GBK" w:cs="Times New Roman"/>
        </w:rPr>
        <w:t>竞选人</w:t>
      </w:r>
      <w:r>
        <w:rPr>
          <w:rFonts w:ascii="方正仿宋_GBK" w:hAnsi="方正仿宋_GBK" w:eastAsia="方正仿宋_GBK" w:cs="Times New Roman"/>
        </w:rPr>
        <w:t>应按</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须知前附表规定的时间和形式将提出的问题送达</w:t>
      </w:r>
      <w:r>
        <w:rPr>
          <w:rFonts w:hint="eastAsia" w:ascii="方正仿宋_GBK" w:hAnsi="方正仿宋_GBK" w:eastAsia="方正仿宋_GBK" w:cs="Times New Roman"/>
        </w:rPr>
        <w:t>比选人，</w:t>
      </w:r>
      <w:r>
        <w:rPr>
          <w:rFonts w:ascii="方正仿宋_GBK" w:hAnsi="方正仿宋_GBK" w:eastAsia="方正仿宋_GBK" w:cs="Times New Roman"/>
        </w:rPr>
        <w:t>以便</w:t>
      </w:r>
      <w:r>
        <w:rPr>
          <w:rFonts w:hint="eastAsia" w:ascii="方正仿宋_GBK" w:hAnsi="方正仿宋_GBK" w:eastAsia="方正仿宋_GBK" w:cs="Times New Roman"/>
        </w:rPr>
        <w:t>比选人</w:t>
      </w:r>
      <w:r>
        <w:rPr>
          <w:rFonts w:ascii="方正仿宋_GBK" w:hAnsi="方正仿宋_GBK" w:eastAsia="方正仿宋_GBK" w:cs="Times New Roman"/>
        </w:rPr>
        <w:t>在会议期间澄清。</w:t>
      </w:r>
    </w:p>
    <w:p w14:paraId="781D7A4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1.9.3  竞选预备会后</w:t>
      </w:r>
      <w:r>
        <w:rPr>
          <w:rFonts w:hint="eastAsia" w:ascii="方正仿宋_GBK" w:hAnsi="方正仿宋_GBK" w:eastAsia="方正仿宋_GBK" w:cs="Times New Roman"/>
        </w:rPr>
        <w:t>，比选人</w:t>
      </w:r>
      <w:r>
        <w:rPr>
          <w:rFonts w:ascii="方正仿宋_GBK" w:hAnsi="方正仿宋_GBK" w:eastAsia="方正仿宋_GBK" w:cs="Times New Roman"/>
        </w:rPr>
        <w:t>将对</w:t>
      </w:r>
      <w:r>
        <w:rPr>
          <w:rFonts w:hint="eastAsia" w:ascii="方正仿宋_GBK" w:hAnsi="方正仿宋_GBK" w:eastAsia="方正仿宋_GBK" w:cs="Times New Roman"/>
        </w:rPr>
        <w:t>竞选人</w:t>
      </w:r>
      <w:r>
        <w:rPr>
          <w:rFonts w:ascii="方正仿宋_GBK" w:hAnsi="方正仿宋_GBK" w:eastAsia="方正仿宋_GBK" w:cs="Times New Roman"/>
        </w:rPr>
        <w:t>所提问题的澄清</w:t>
      </w:r>
      <w:r>
        <w:rPr>
          <w:rFonts w:hint="eastAsia" w:ascii="方正仿宋_GBK" w:hAnsi="方正仿宋_GBK" w:eastAsia="方正仿宋_GBK" w:cs="Times New Roman"/>
        </w:rPr>
        <w:t>，</w:t>
      </w:r>
      <w:r>
        <w:rPr>
          <w:rFonts w:ascii="方正仿宋_GBK" w:hAnsi="方正仿宋_GBK" w:eastAsia="方正仿宋_GBK" w:cs="Times New Roman"/>
        </w:rPr>
        <w:t>以</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须知前附表规定的形式通知所有</w:t>
      </w:r>
      <w:r>
        <w:rPr>
          <w:rFonts w:hint="eastAsia" w:ascii="方正仿宋_GBK" w:hAnsi="方正仿宋_GBK" w:eastAsia="方正仿宋_GBK" w:cs="Times New Roman"/>
        </w:rPr>
        <w:t>获取比选文件</w:t>
      </w:r>
      <w:r>
        <w:rPr>
          <w:rFonts w:ascii="方正仿宋_GBK" w:hAnsi="方正仿宋_GBK" w:eastAsia="方正仿宋_GBK" w:cs="Times New Roman"/>
        </w:rPr>
        <w:t>的</w:t>
      </w:r>
      <w:r>
        <w:rPr>
          <w:rFonts w:hint="eastAsia" w:ascii="方正仿宋_GBK" w:hAnsi="方正仿宋_GBK" w:eastAsia="方正仿宋_GBK" w:cs="Times New Roman"/>
        </w:rPr>
        <w:t>竞选人</w:t>
      </w:r>
      <w:r>
        <w:rPr>
          <w:rFonts w:ascii="方正仿宋_GBK" w:hAnsi="方正仿宋_GBK" w:eastAsia="方正仿宋_GBK" w:cs="Times New Roman"/>
        </w:rPr>
        <w:t>。该澄清内容为</w:t>
      </w:r>
      <w:r>
        <w:rPr>
          <w:rFonts w:hint="eastAsia" w:ascii="方正仿宋_GBK" w:hAnsi="方正仿宋_GBK" w:eastAsia="方正仿宋_GBK" w:cs="Times New Roman"/>
        </w:rPr>
        <w:t>比选文件</w:t>
      </w:r>
      <w:r>
        <w:rPr>
          <w:rFonts w:ascii="方正仿宋_GBK" w:hAnsi="方正仿宋_GBK" w:eastAsia="方正仿宋_GBK" w:cs="Times New Roman"/>
        </w:rPr>
        <w:t>的组成部分。</w:t>
      </w:r>
    </w:p>
    <w:p w14:paraId="68535C3F">
      <w:pPr>
        <w:pStyle w:val="4"/>
        <w:spacing w:before="0" w:after="0" w:line="240" w:lineRule="auto"/>
        <w:ind w:left="105" w:right="105"/>
        <w:contextualSpacing/>
        <w:rPr>
          <w:rFonts w:ascii="方正仿宋_GBK" w:hAnsi="方正仿宋_GBK" w:eastAsia="方正仿宋_GBK" w:cs="Times New Roman"/>
        </w:rPr>
      </w:pPr>
      <w:bookmarkStart w:id="92" w:name="_Toc173920565"/>
      <w:bookmarkStart w:id="93" w:name="_Toc172188060"/>
      <w:r>
        <w:rPr>
          <w:rFonts w:hint="eastAsia" w:ascii="方正仿宋_GBK" w:hAnsi="方正仿宋_GBK" w:eastAsia="方正仿宋_GBK" w:cs="Times New Roman"/>
        </w:rPr>
        <w:t>1.10 分包</w:t>
      </w:r>
      <w:bookmarkEnd w:id="92"/>
      <w:bookmarkEnd w:id="93"/>
    </w:p>
    <w:p w14:paraId="78C03DD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1.10.1  </w:t>
      </w:r>
      <w:r>
        <w:rPr>
          <w:rFonts w:hint="eastAsia" w:ascii="方正仿宋_GBK" w:hAnsi="方正仿宋_GBK" w:eastAsia="方正仿宋_GBK" w:cs="Times New Roman"/>
        </w:rPr>
        <w:t>竞选人</w:t>
      </w:r>
      <w:r>
        <w:rPr>
          <w:rFonts w:ascii="方正仿宋_GBK" w:hAnsi="方正仿宋_GBK" w:eastAsia="方正仿宋_GBK" w:cs="Times New Roman"/>
        </w:rPr>
        <w:t>拟在</w:t>
      </w:r>
      <w:r>
        <w:rPr>
          <w:rFonts w:hint="eastAsia" w:ascii="方正仿宋_GBK" w:hAnsi="方正仿宋_GBK" w:eastAsia="方正仿宋_GBK" w:cs="Times New Roman"/>
        </w:rPr>
        <w:t>中选</w:t>
      </w:r>
      <w:r>
        <w:rPr>
          <w:rFonts w:ascii="方正仿宋_GBK" w:hAnsi="方正仿宋_GBK" w:eastAsia="方正仿宋_GBK" w:cs="Times New Roman"/>
        </w:rPr>
        <w:t>后将中</w:t>
      </w:r>
      <w:r>
        <w:rPr>
          <w:rFonts w:hint="eastAsia" w:ascii="方正仿宋_GBK" w:hAnsi="方正仿宋_GBK" w:eastAsia="方正仿宋_GBK" w:cs="Times New Roman"/>
        </w:rPr>
        <w:t>选</w:t>
      </w:r>
      <w:r>
        <w:rPr>
          <w:rFonts w:ascii="方正仿宋_GBK" w:hAnsi="方正仿宋_GBK" w:eastAsia="方正仿宋_GBK" w:cs="Times New Roman"/>
        </w:rPr>
        <w:t>项目进行分包的，应符合</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须知前附表规定的分包内容、分包金额和资质要求等限制性条件，除</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w:t>
      </w:r>
      <w:r>
        <w:rPr>
          <w:rFonts w:hint="eastAsia" w:ascii="方正仿宋_GBK" w:hAnsi="方正仿宋_GBK" w:eastAsia="方正仿宋_GBK" w:cs="Times New Roman"/>
        </w:rPr>
        <w:t>情形</w:t>
      </w:r>
      <w:r>
        <w:rPr>
          <w:rFonts w:ascii="方正仿宋_GBK" w:hAnsi="方正仿宋_GBK" w:eastAsia="方正仿宋_GBK" w:cs="Times New Roman"/>
        </w:rPr>
        <w:t>外，其他工作不得分包。</w:t>
      </w:r>
    </w:p>
    <w:p w14:paraId="29EC90B6">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1.10.2  </w:t>
      </w:r>
      <w:r>
        <w:rPr>
          <w:rFonts w:hint="eastAsia" w:ascii="方正仿宋_GBK" w:hAnsi="方正仿宋_GBK" w:eastAsia="方正仿宋_GBK" w:cs="Times New Roman"/>
        </w:rPr>
        <w:t>成交竞选人</w:t>
      </w:r>
      <w:r>
        <w:rPr>
          <w:rFonts w:ascii="方正仿宋_GBK" w:hAnsi="方正仿宋_GBK" w:eastAsia="方正仿宋_GBK" w:cs="Times New Roman"/>
        </w:rPr>
        <w:t>不得向他人转让</w:t>
      </w:r>
      <w:r>
        <w:rPr>
          <w:rFonts w:hint="eastAsia" w:ascii="方正仿宋_GBK" w:hAnsi="方正仿宋_GBK" w:eastAsia="方正仿宋_GBK" w:cs="Times New Roman"/>
        </w:rPr>
        <w:t>中选</w:t>
      </w:r>
      <w:r>
        <w:rPr>
          <w:rFonts w:ascii="方正仿宋_GBK" w:hAnsi="方正仿宋_GBK" w:eastAsia="方正仿宋_GBK" w:cs="Times New Roman"/>
        </w:rPr>
        <w:t>项目，接受分包的人不得再次分包。</w:t>
      </w:r>
      <w:r>
        <w:rPr>
          <w:rFonts w:hint="eastAsia" w:ascii="方正仿宋_GBK" w:hAnsi="方正仿宋_GBK" w:eastAsia="方正仿宋_GBK" w:cs="Times New Roman"/>
        </w:rPr>
        <w:t>成交竞选人</w:t>
      </w:r>
      <w:r>
        <w:rPr>
          <w:rFonts w:ascii="方正仿宋_GBK" w:hAnsi="方正仿宋_GBK" w:eastAsia="方正仿宋_GBK" w:cs="Times New Roman"/>
        </w:rPr>
        <w:t>应当就分包项目向</w:t>
      </w:r>
      <w:r>
        <w:rPr>
          <w:rFonts w:hint="eastAsia" w:ascii="方正仿宋_GBK" w:hAnsi="方正仿宋_GBK" w:eastAsia="方正仿宋_GBK" w:cs="Times New Roman"/>
        </w:rPr>
        <w:t>比选人</w:t>
      </w:r>
      <w:r>
        <w:rPr>
          <w:rFonts w:ascii="方正仿宋_GBK" w:hAnsi="方正仿宋_GBK" w:eastAsia="方正仿宋_GBK" w:cs="Times New Roman"/>
        </w:rPr>
        <w:t>负责</w:t>
      </w:r>
      <w:r>
        <w:rPr>
          <w:rFonts w:hint="eastAsia" w:ascii="方正仿宋_GBK" w:hAnsi="方正仿宋_GBK" w:eastAsia="方正仿宋_GBK" w:cs="Times New Roman"/>
        </w:rPr>
        <w:t>，</w:t>
      </w:r>
      <w:r>
        <w:rPr>
          <w:rFonts w:ascii="方正仿宋_GBK" w:hAnsi="方正仿宋_GBK" w:eastAsia="方正仿宋_GBK" w:cs="Times New Roman"/>
        </w:rPr>
        <w:t>接受分包的人就分包项目承担连带责任。</w:t>
      </w:r>
    </w:p>
    <w:p w14:paraId="284D3417">
      <w:pPr>
        <w:pStyle w:val="4"/>
        <w:spacing w:before="0" w:after="0" w:line="240" w:lineRule="auto"/>
        <w:ind w:left="105" w:right="105"/>
        <w:contextualSpacing/>
        <w:rPr>
          <w:rFonts w:ascii="方正仿宋_GBK" w:hAnsi="方正仿宋_GBK" w:eastAsia="方正仿宋_GBK" w:cs="Times New Roman"/>
        </w:rPr>
      </w:pPr>
      <w:bookmarkStart w:id="94" w:name="_Toc173920566"/>
      <w:bookmarkStart w:id="95" w:name="_Toc172188061"/>
      <w:r>
        <w:rPr>
          <w:rFonts w:hint="eastAsia" w:ascii="方正仿宋_GBK" w:hAnsi="方正仿宋_GBK" w:eastAsia="方正仿宋_GBK" w:cs="Times New Roman"/>
        </w:rPr>
        <w:t>1.11 竞选和偏差</w:t>
      </w:r>
      <w:bookmarkEnd w:id="94"/>
      <w:bookmarkEnd w:id="95"/>
    </w:p>
    <w:p w14:paraId="7E6EEC14">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1.11.1 </w:t>
      </w:r>
      <w:r>
        <w:rPr>
          <w:rFonts w:hint="eastAsia" w:ascii="方正仿宋_GBK" w:hAnsi="方正仿宋_GBK" w:eastAsia="方正仿宋_GBK" w:cs="Times New Roman"/>
        </w:rPr>
        <w:t>竞选文件</w:t>
      </w:r>
      <w:r>
        <w:rPr>
          <w:rFonts w:ascii="方正仿宋_GBK" w:hAnsi="方正仿宋_GBK" w:eastAsia="方正仿宋_GBK" w:cs="Times New Roman"/>
        </w:rPr>
        <w:t>应当对</w:t>
      </w:r>
      <w:r>
        <w:rPr>
          <w:rFonts w:hint="eastAsia" w:ascii="方正仿宋_GBK" w:hAnsi="方正仿宋_GBK" w:eastAsia="方正仿宋_GBK" w:cs="Times New Roman"/>
        </w:rPr>
        <w:t>比选文件</w:t>
      </w:r>
      <w:r>
        <w:rPr>
          <w:rFonts w:ascii="方正仿宋_GBK" w:hAnsi="方正仿宋_GBK" w:eastAsia="方正仿宋_GBK" w:cs="Times New Roman"/>
        </w:rPr>
        <w:t>的实质性要求和条件作出满足性或更有利于</w:t>
      </w:r>
      <w:r>
        <w:rPr>
          <w:rFonts w:hint="eastAsia" w:ascii="方正仿宋_GBK" w:hAnsi="方正仿宋_GBK" w:eastAsia="方正仿宋_GBK" w:cs="Times New Roman"/>
        </w:rPr>
        <w:t>比选人</w:t>
      </w:r>
      <w:r>
        <w:rPr>
          <w:rFonts w:ascii="方正仿宋_GBK" w:hAnsi="方正仿宋_GBK" w:eastAsia="方正仿宋_GBK" w:cs="Times New Roman"/>
        </w:rPr>
        <w:t>的竞选，否则</w:t>
      </w:r>
      <w:r>
        <w:rPr>
          <w:rFonts w:hint="eastAsia" w:ascii="方正仿宋_GBK" w:hAnsi="方正仿宋_GBK" w:eastAsia="方正仿宋_GBK" w:cs="Times New Roman"/>
        </w:rPr>
        <w:t>，竞选人</w:t>
      </w:r>
      <w:r>
        <w:rPr>
          <w:rFonts w:ascii="方正仿宋_GBK" w:hAnsi="方正仿宋_GBK" w:eastAsia="方正仿宋_GBK" w:cs="Times New Roman"/>
        </w:rPr>
        <w:t>的竞选将被否决。实质性要求和条件见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4CEC248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1.11.2  </w:t>
      </w:r>
      <w:r>
        <w:rPr>
          <w:rFonts w:hint="eastAsia" w:ascii="方正仿宋_GBK" w:hAnsi="方正仿宋_GBK" w:eastAsia="方正仿宋_GBK" w:cs="Times New Roman"/>
        </w:rPr>
        <w:t>竞选人</w:t>
      </w:r>
      <w:r>
        <w:rPr>
          <w:rFonts w:ascii="方正仿宋_GBK" w:hAnsi="方正仿宋_GBK" w:eastAsia="方正仿宋_GBK" w:cs="Times New Roman"/>
        </w:rPr>
        <w:t>应根据</w:t>
      </w:r>
      <w:r>
        <w:rPr>
          <w:rFonts w:hint="eastAsia" w:ascii="方正仿宋_GBK" w:hAnsi="方正仿宋_GBK" w:eastAsia="方正仿宋_GBK" w:cs="Times New Roman"/>
        </w:rPr>
        <w:t>比选文件</w:t>
      </w:r>
      <w:r>
        <w:rPr>
          <w:rFonts w:ascii="方正仿宋_GBK" w:hAnsi="方正仿宋_GBK" w:eastAsia="方正仿宋_GBK" w:cs="Times New Roman"/>
        </w:rPr>
        <w:t>的要求提供</w:t>
      </w:r>
      <w:r>
        <w:rPr>
          <w:rFonts w:hint="eastAsia" w:ascii="方正仿宋_GBK" w:hAnsi="方正仿宋_GBK" w:eastAsia="方正仿宋_GBK" w:cs="Times New Roman"/>
        </w:rPr>
        <w:t>比选项目相关的</w:t>
      </w:r>
      <w:r>
        <w:rPr>
          <w:rFonts w:ascii="方正仿宋_GBK" w:hAnsi="方正仿宋_GBK" w:eastAsia="方正仿宋_GBK" w:cs="Times New Roman"/>
        </w:rPr>
        <w:t>技术性能指标的详细描述、技术支持资料及技术服务和质保期服务计划等内容以对</w:t>
      </w:r>
      <w:r>
        <w:rPr>
          <w:rFonts w:hint="eastAsia" w:ascii="方正仿宋_GBK" w:hAnsi="方正仿宋_GBK" w:eastAsia="方正仿宋_GBK" w:cs="Times New Roman"/>
        </w:rPr>
        <w:t>比选文件</w:t>
      </w:r>
      <w:r>
        <w:rPr>
          <w:rFonts w:ascii="方正仿宋_GBK" w:hAnsi="方正仿宋_GBK" w:eastAsia="方正仿宋_GBK" w:cs="Times New Roman"/>
        </w:rPr>
        <w:t>作出竞选。</w:t>
      </w:r>
    </w:p>
    <w:p w14:paraId="3A0BC4B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1.11.3  </w:t>
      </w:r>
      <w:r>
        <w:rPr>
          <w:rFonts w:hint="eastAsia" w:ascii="方正仿宋_GBK" w:hAnsi="方正仿宋_GBK" w:eastAsia="方正仿宋_GBK" w:cs="Times New Roman"/>
        </w:rPr>
        <w:t>竞选文件</w:t>
      </w:r>
      <w:r>
        <w:rPr>
          <w:rFonts w:ascii="方正仿宋_GBK" w:hAnsi="方正仿宋_GBK" w:eastAsia="方正仿宋_GBK" w:cs="Times New Roman"/>
        </w:rPr>
        <w:t>中应针对实质性要求和条件中列明的技术要求提供技术支</w:t>
      </w:r>
    </w:p>
    <w:p w14:paraId="2A9D0FC9">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1.11.4  </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须知前附表规定了可以偏差的范围和最高偏差项数的，偏差应当符合</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须知前附表规定的偏差范围和最高项数</w:t>
      </w:r>
      <w:r>
        <w:rPr>
          <w:rFonts w:hint="eastAsia" w:ascii="方正仿宋_GBK" w:hAnsi="方正仿宋_GBK" w:eastAsia="方正仿宋_GBK" w:cs="Times New Roman"/>
        </w:rPr>
        <w:t>，</w:t>
      </w:r>
      <w:r>
        <w:rPr>
          <w:rFonts w:ascii="方正仿宋_GBK" w:hAnsi="方正仿宋_GBK" w:eastAsia="方正仿宋_GBK" w:cs="Times New Roman"/>
        </w:rPr>
        <w:t>超出偏差范围和最高偏差项数的竞选将被否决。</w:t>
      </w:r>
    </w:p>
    <w:p w14:paraId="5445310D">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1.11.5  </w:t>
      </w:r>
      <w:r>
        <w:rPr>
          <w:rFonts w:hint="eastAsia" w:ascii="方正仿宋_GBK" w:hAnsi="方正仿宋_GBK" w:eastAsia="方正仿宋_GBK" w:cs="Times New Roman"/>
        </w:rPr>
        <w:t>竞选文件</w:t>
      </w:r>
      <w:r>
        <w:rPr>
          <w:rFonts w:ascii="方正仿宋_GBK" w:hAnsi="方正仿宋_GBK" w:eastAsia="方正仿宋_GBK" w:cs="Times New Roman"/>
        </w:rPr>
        <w:t>对</w:t>
      </w:r>
      <w:r>
        <w:rPr>
          <w:rFonts w:hint="eastAsia" w:ascii="方正仿宋_GBK" w:hAnsi="方正仿宋_GBK" w:eastAsia="方正仿宋_GBK" w:cs="Times New Roman"/>
        </w:rPr>
        <w:t>比选文件</w:t>
      </w:r>
      <w:r>
        <w:rPr>
          <w:rFonts w:ascii="方正仿宋_GBK" w:hAnsi="方正仿宋_GBK" w:eastAsia="方正仿宋_GBK" w:cs="Times New Roman"/>
        </w:rPr>
        <w:t>的全部偏差，均应在</w:t>
      </w:r>
      <w:r>
        <w:rPr>
          <w:rFonts w:hint="eastAsia" w:ascii="方正仿宋_GBK" w:hAnsi="方正仿宋_GBK" w:eastAsia="方正仿宋_GBK" w:cs="Times New Roman"/>
        </w:rPr>
        <w:t>竞选文件</w:t>
      </w:r>
      <w:r>
        <w:rPr>
          <w:rFonts w:ascii="方正仿宋_GBK" w:hAnsi="方正仿宋_GBK" w:eastAsia="方正仿宋_GBK" w:cs="Times New Roman"/>
        </w:rPr>
        <w:t>的商务和技术偏差表中列明，除列明的内容外</w:t>
      </w:r>
      <w:r>
        <w:rPr>
          <w:rFonts w:hint="eastAsia" w:ascii="方正仿宋_GBK" w:hAnsi="方正仿宋_GBK" w:eastAsia="方正仿宋_GBK" w:cs="Times New Roman"/>
        </w:rPr>
        <w:t>，</w:t>
      </w:r>
      <w:r>
        <w:rPr>
          <w:rFonts w:ascii="方正仿宋_GBK" w:hAnsi="方正仿宋_GBK" w:eastAsia="方正仿宋_GBK" w:cs="Times New Roman"/>
        </w:rPr>
        <w:t>视为</w:t>
      </w:r>
      <w:r>
        <w:rPr>
          <w:rFonts w:hint="eastAsia" w:ascii="方正仿宋_GBK" w:hAnsi="方正仿宋_GBK" w:eastAsia="方正仿宋_GBK" w:cs="Times New Roman"/>
        </w:rPr>
        <w:t>竞选人</w:t>
      </w:r>
      <w:r>
        <w:rPr>
          <w:rFonts w:ascii="方正仿宋_GBK" w:hAnsi="方正仿宋_GBK" w:eastAsia="方正仿宋_GBK" w:cs="Times New Roman"/>
        </w:rPr>
        <w:t>竞选</w:t>
      </w:r>
      <w:r>
        <w:rPr>
          <w:rFonts w:hint="eastAsia" w:ascii="方正仿宋_GBK" w:hAnsi="方正仿宋_GBK" w:eastAsia="方正仿宋_GBK" w:cs="Times New Roman"/>
        </w:rPr>
        <w:t>比选文件</w:t>
      </w:r>
      <w:r>
        <w:rPr>
          <w:rFonts w:ascii="方正仿宋_GBK" w:hAnsi="方正仿宋_GBK" w:eastAsia="方正仿宋_GBK" w:cs="Times New Roman"/>
        </w:rPr>
        <w:t>的全部要求。</w:t>
      </w:r>
    </w:p>
    <w:p w14:paraId="0BA3E26E">
      <w:pPr>
        <w:ind w:right="105"/>
        <w:contextualSpacing/>
        <w:rPr>
          <w:rFonts w:hint="default" w:ascii="方正黑体_GBK" w:hAnsi="方正黑体_GBK" w:eastAsia="方正黑体_GBK" w:cs="Times New Roman"/>
          <w:b/>
          <w:snapToGrid w:val="0"/>
          <w:color w:val="000000"/>
          <w:kern w:val="0"/>
          <w:sz w:val="32"/>
          <w:szCs w:val="20"/>
          <w:lang w:val="en-US" w:eastAsia="zh-CN"/>
        </w:rPr>
      </w:pPr>
      <w:r>
        <w:rPr>
          <w:rFonts w:hint="eastAsia" w:ascii="方正黑体_GBK" w:hAnsi="方正黑体_GBK" w:eastAsia="方正黑体_GBK" w:cs="Times New Roman"/>
          <w:b/>
          <w:snapToGrid w:val="0"/>
          <w:color w:val="000000"/>
          <w:kern w:val="0"/>
          <w:sz w:val="32"/>
          <w:szCs w:val="20"/>
          <w:lang w:val="en-US" w:eastAsia="zh-CN"/>
        </w:rPr>
        <w:t>2.比选文件</w:t>
      </w:r>
    </w:p>
    <w:bookmarkEnd w:id="75"/>
    <w:p w14:paraId="0530755D">
      <w:pPr>
        <w:pStyle w:val="4"/>
        <w:spacing w:before="0" w:after="0" w:line="240" w:lineRule="auto"/>
        <w:ind w:left="105" w:right="105"/>
        <w:contextualSpacing/>
        <w:rPr>
          <w:rFonts w:ascii="方正仿宋_GBK" w:hAnsi="方正仿宋_GBK" w:eastAsia="方正仿宋_GBK" w:cs="Times New Roman"/>
        </w:rPr>
      </w:pPr>
      <w:bookmarkStart w:id="96" w:name="_Toc173920568"/>
      <w:bookmarkStart w:id="97" w:name="_Toc172188063"/>
      <w:r>
        <w:rPr>
          <w:rFonts w:hint="eastAsia" w:ascii="方正仿宋_GBK" w:hAnsi="方正仿宋_GBK" w:eastAsia="方正仿宋_GBK" w:cs="Times New Roman"/>
        </w:rPr>
        <w:t>2.1 比选文件的组成</w:t>
      </w:r>
      <w:bookmarkEnd w:id="96"/>
      <w:bookmarkEnd w:id="97"/>
    </w:p>
    <w:p w14:paraId="45C05CEB">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本</w:t>
      </w:r>
      <w:r>
        <w:rPr>
          <w:rFonts w:hint="eastAsia" w:ascii="方正仿宋_GBK" w:hAnsi="方正仿宋_GBK" w:eastAsia="方正仿宋_GBK" w:cs="Times New Roman"/>
        </w:rPr>
        <w:t>比选文件</w:t>
      </w:r>
      <w:r>
        <w:rPr>
          <w:rFonts w:ascii="方正仿宋_GBK" w:hAnsi="方正仿宋_GBK" w:eastAsia="方正仿宋_GBK" w:cs="Times New Roman"/>
        </w:rPr>
        <w:t>包括：</w:t>
      </w:r>
    </w:p>
    <w:p w14:paraId="72245F93">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（1）比选</w:t>
      </w:r>
      <w:r>
        <w:rPr>
          <w:rFonts w:hint="eastAsia" w:ascii="方正仿宋_GBK" w:hAnsi="方正仿宋_GBK" w:eastAsia="方正仿宋_GBK" w:cs="Times New Roman"/>
          <w:lang w:eastAsia="zh-CN"/>
        </w:rPr>
        <w:t>公告</w:t>
      </w:r>
      <w:r>
        <w:rPr>
          <w:rFonts w:ascii="方正仿宋_GBK" w:hAnsi="方正仿宋_GBK" w:eastAsia="方正仿宋_GBK" w:cs="Times New Roman"/>
        </w:rPr>
        <w:t>；</w:t>
      </w:r>
    </w:p>
    <w:p w14:paraId="5423778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w:t>
      </w:r>
      <w:r>
        <w:rPr>
          <w:rFonts w:hint="eastAsia" w:ascii="方正仿宋_GBK" w:hAnsi="方正仿宋_GBK" w:eastAsia="方正仿宋_GBK" w:cs="Times New Roman"/>
        </w:rPr>
        <w:t>竞选人</w:t>
      </w:r>
      <w:r>
        <w:rPr>
          <w:rFonts w:ascii="方正仿宋_GBK" w:hAnsi="方正仿宋_GBK" w:eastAsia="方正仿宋_GBK" w:cs="Times New Roman"/>
        </w:rPr>
        <w:t>须知；</w:t>
      </w:r>
    </w:p>
    <w:p w14:paraId="2D6F9192">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w:t>
      </w:r>
      <w:r>
        <w:rPr>
          <w:rFonts w:hint="eastAsia" w:ascii="方正仿宋_GBK" w:hAnsi="方正仿宋_GBK" w:eastAsia="方正仿宋_GBK" w:cs="Times New Roman"/>
        </w:rPr>
        <w:t>评审</w:t>
      </w:r>
      <w:r>
        <w:rPr>
          <w:rFonts w:ascii="方正仿宋_GBK" w:hAnsi="方正仿宋_GBK" w:eastAsia="方正仿宋_GBK" w:cs="Times New Roman"/>
        </w:rPr>
        <w:t>办法；</w:t>
      </w:r>
    </w:p>
    <w:p w14:paraId="1CF11891">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（4）合同条款及格式；</w:t>
      </w:r>
    </w:p>
    <w:p w14:paraId="0F7D45B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5</w:t>
      </w:r>
      <w:r>
        <w:rPr>
          <w:rFonts w:ascii="方正仿宋_GBK" w:hAnsi="方正仿宋_GBK" w:eastAsia="方正仿宋_GBK" w:cs="Times New Roman"/>
        </w:rPr>
        <w:t>）</w:t>
      </w:r>
      <w:r>
        <w:rPr>
          <w:rFonts w:hint="eastAsia" w:ascii="方正仿宋_GBK" w:hAnsi="方正仿宋_GBK" w:eastAsia="方正仿宋_GBK" w:cs="Times New Roman"/>
        </w:rPr>
        <w:t>竞选文件</w:t>
      </w:r>
      <w:r>
        <w:rPr>
          <w:rFonts w:ascii="方正仿宋_GBK" w:hAnsi="方正仿宋_GBK" w:eastAsia="方正仿宋_GBK" w:cs="Times New Roman"/>
        </w:rPr>
        <w:t>格式；</w:t>
      </w:r>
    </w:p>
    <w:p w14:paraId="708B0415">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6</w:t>
      </w:r>
      <w:r>
        <w:rPr>
          <w:rFonts w:ascii="方正仿宋_GBK" w:hAnsi="方正仿宋_GBK" w:eastAsia="方正仿宋_GBK" w:cs="Times New Roman"/>
        </w:rPr>
        <w:t>）</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须知前附表规定的其他资料。</w:t>
      </w:r>
    </w:p>
    <w:p w14:paraId="541DAAF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根据本章第 1.9 款、第 2.2 款和第 2.3 款对</w:t>
      </w:r>
      <w:r>
        <w:rPr>
          <w:rFonts w:hint="eastAsia" w:ascii="方正仿宋_GBK" w:hAnsi="方正仿宋_GBK" w:eastAsia="方正仿宋_GBK" w:cs="Times New Roman"/>
        </w:rPr>
        <w:t>比选文件</w:t>
      </w:r>
      <w:r>
        <w:rPr>
          <w:rFonts w:ascii="方正仿宋_GBK" w:hAnsi="方正仿宋_GBK" w:eastAsia="方正仿宋_GBK" w:cs="Times New Roman"/>
        </w:rPr>
        <w:t>所作的澄清、修改</w:t>
      </w:r>
      <w:r>
        <w:rPr>
          <w:rFonts w:hint="eastAsia" w:ascii="方正仿宋_GBK" w:hAnsi="方正仿宋_GBK" w:eastAsia="方正仿宋_GBK" w:cs="Times New Roman"/>
        </w:rPr>
        <w:t>，</w:t>
      </w:r>
      <w:r>
        <w:rPr>
          <w:rFonts w:ascii="方正仿宋_GBK" w:hAnsi="方正仿宋_GBK" w:eastAsia="方正仿宋_GBK" w:cs="Times New Roman"/>
        </w:rPr>
        <w:t>构成</w:t>
      </w:r>
      <w:r>
        <w:rPr>
          <w:rFonts w:hint="eastAsia" w:ascii="方正仿宋_GBK" w:hAnsi="方正仿宋_GBK" w:eastAsia="方正仿宋_GBK" w:cs="Times New Roman"/>
        </w:rPr>
        <w:t>比选文件</w:t>
      </w:r>
      <w:r>
        <w:rPr>
          <w:rFonts w:ascii="方正仿宋_GBK" w:hAnsi="方正仿宋_GBK" w:eastAsia="方正仿宋_GBK" w:cs="Times New Roman"/>
        </w:rPr>
        <w:t>的组成部分。</w:t>
      </w:r>
    </w:p>
    <w:p w14:paraId="5640AC42">
      <w:pPr>
        <w:pStyle w:val="4"/>
        <w:spacing w:before="0" w:after="0" w:line="240" w:lineRule="auto"/>
        <w:ind w:left="105" w:right="105"/>
        <w:contextualSpacing/>
        <w:rPr>
          <w:rFonts w:ascii="方正仿宋_GBK" w:hAnsi="方正仿宋_GBK" w:eastAsia="方正仿宋_GBK" w:cs="Times New Roman"/>
        </w:rPr>
      </w:pPr>
      <w:bookmarkStart w:id="98" w:name="_Toc172188064"/>
      <w:bookmarkStart w:id="99" w:name="_Toc173920569"/>
      <w:r>
        <w:rPr>
          <w:rFonts w:hint="eastAsia" w:ascii="方正仿宋_GBK" w:hAnsi="方正仿宋_GBK" w:eastAsia="方正仿宋_GBK" w:cs="Times New Roman"/>
        </w:rPr>
        <w:t>2.2 比选文件的澄清</w:t>
      </w:r>
      <w:bookmarkEnd w:id="98"/>
      <w:bookmarkEnd w:id="99"/>
    </w:p>
    <w:p w14:paraId="477D60A9">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2.2.1 </w:t>
      </w:r>
      <w:r>
        <w:rPr>
          <w:rFonts w:hint="eastAsia" w:ascii="方正仿宋_GBK" w:hAnsi="方正仿宋_GBK" w:eastAsia="方正仿宋_GBK" w:cs="Times New Roman"/>
        </w:rPr>
        <w:t>竞选人</w:t>
      </w:r>
      <w:r>
        <w:rPr>
          <w:rFonts w:ascii="方正仿宋_GBK" w:hAnsi="方正仿宋_GBK" w:eastAsia="方正仿宋_GBK" w:cs="Times New Roman"/>
        </w:rPr>
        <w:t>应仔细阅读和检查</w:t>
      </w:r>
      <w:r>
        <w:rPr>
          <w:rFonts w:hint="eastAsia" w:ascii="方正仿宋_GBK" w:hAnsi="方正仿宋_GBK" w:eastAsia="方正仿宋_GBK" w:cs="Times New Roman"/>
        </w:rPr>
        <w:t>比选文件</w:t>
      </w:r>
      <w:r>
        <w:rPr>
          <w:rFonts w:ascii="方正仿宋_GBK" w:hAnsi="方正仿宋_GBK" w:eastAsia="方正仿宋_GBK" w:cs="Times New Roman"/>
        </w:rPr>
        <w:t>的全部内容。如发现缺页或附件不全</w:t>
      </w:r>
      <w:r>
        <w:rPr>
          <w:rFonts w:hint="eastAsia" w:ascii="方正仿宋_GBK" w:hAnsi="方正仿宋_GBK" w:eastAsia="方正仿宋_GBK" w:cs="Times New Roman"/>
        </w:rPr>
        <w:t>，</w:t>
      </w:r>
      <w:r>
        <w:rPr>
          <w:rFonts w:ascii="方正仿宋_GBK" w:hAnsi="方正仿宋_GBK" w:eastAsia="方正仿宋_GBK" w:cs="Times New Roman"/>
        </w:rPr>
        <w:t>应及时向</w:t>
      </w:r>
      <w:r>
        <w:rPr>
          <w:rFonts w:hint="eastAsia" w:ascii="方正仿宋_GBK" w:hAnsi="方正仿宋_GBK" w:eastAsia="方正仿宋_GBK" w:cs="Times New Roman"/>
        </w:rPr>
        <w:t>比选人</w:t>
      </w:r>
      <w:r>
        <w:rPr>
          <w:rFonts w:ascii="方正仿宋_GBK" w:hAnsi="方正仿宋_GBK" w:eastAsia="方正仿宋_GBK" w:cs="Times New Roman"/>
        </w:rPr>
        <w:t>提出，以便补齐。如有疑问，应按</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须知前附表规定的时间和形式将提出的问题送达</w:t>
      </w:r>
      <w:r>
        <w:rPr>
          <w:rFonts w:hint="eastAsia" w:ascii="方正仿宋_GBK" w:hAnsi="方正仿宋_GBK" w:eastAsia="方正仿宋_GBK" w:cs="Times New Roman"/>
        </w:rPr>
        <w:t>比选人</w:t>
      </w:r>
      <w:r>
        <w:rPr>
          <w:rFonts w:ascii="方正仿宋_GBK" w:hAnsi="方正仿宋_GBK" w:eastAsia="方正仿宋_GBK" w:cs="Times New Roman"/>
        </w:rPr>
        <w:t>，要求</w:t>
      </w:r>
      <w:r>
        <w:rPr>
          <w:rFonts w:hint="eastAsia" w:ascii="方正仿宋_GBK" w:hAnsi="方正仿宋_GBK" w:eastAsia="方正仿宋_GBK" w:cs="Times New Roman"/>
        </w:rPr>
        <w:t>比选人</w:t>
      </w:r>
      <w:r>
        <w:rPr>
          <w:rFonts w:ascii="方正仿宋_GBK" w:hAnsi="方正仿宋_GBK" w:eastAsia="方正仿宋_GBK" w:cs="Times New Roman"/>
        </w:rPr>
        <w:t>对</w:t>
      </w:r>
      <w:r>
        <w:rPr>
          <w:rFonts w:hint="eastAsia" w:ascii="方正仿宋_GBK" w:hAnsi="方正仿宋_GBK" w:eastAsia="方正仿宋_GBK" w:cs="Times New Roman"/>
        </w:rPr>
        <w:t>比选文件</w:t>
      </w:r>
      <w:r>
        <w:rPr>
          <w:rFonts w:ascii="方正仿宋_GBK" w:hAnsi="方正仿宋_GBK" w:eastAsia="方正仿宋_GBK" w:cs="Times New Roman"/>
        </w:rPr>
        <w:t>予以澄清。</w:t>
      </w:r>
    </w:p>
    <w:p w14:paraId="344E5514">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2.2.2 </w:t>
      </w:r>
      <w:r>
        <w:rPr>
          <w:rFonts w:hint="eastAsia" w:ascii="方正仿宋_GBK" w:hAnsi="方正仿宋_GBK" w:eastAsia="方正仿宋_GBK" w:cs="Times New Roman"/>
        </w:rPr>
        <w:t>比选文件</w:t>
      </w:r>
      <w:r>
        <w:rPr>
          <w:rFonts w:ascii="方正仿宋_GBK" w:hAnsi="方正仿宋_GBK" w:eastAsia="方正仿宋_GBK" w:cs="Times New Roman"/>
        </w:rPr>
        <w:t>的澄清以</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须知前附表规定的形式发给所有</w:t>
      </w:r>
      <w:r>
        <w:rPr>
          <w:rFonts w:hint="eastAsia" w:ascii="方正仿宋_GBK" w:hAnsi="方正仿宋_GBK" w:eastAsia="方正仿宋_GBK" w:cs="Times New Roman"/>
        </w:rPr>
        <w:t>获取比选文件</w:t>
      </w:r>
      <w:r>
        <w:rPr>
          <w:rFonts w:ascii="方正仿宋_GBK" w:hAnsi="方正仿宋_GBK" w:eastAsia="方正仿宋_GBK" w:cs="Times New Roman"/>
        </w:rPr>
        <w:t>的</w:t>
      </w:r>
      <w:r>
        <w:rPr>
          <w:rFonts w:hint="eastAsia" w:ascii="方正仿宋_GBK" w:hAnsi="方正仿宋_GBK" w:eastAsia="方正仿宋_GBK" w:cs="Times New Roman"/>
        </w:rPr>
        <w:t>竞选人，</w:t>
      </w:r>
      <w:r>
        <w:rPr>
          <w:rFonts w:ascii="方正仿宋_GBK" w:hAnsi="方正仿宋_GBK" w:eastAsia="方正仿宋_GBK" w:cs="Times New Roman"/>
        </w:rPr>
        <w:t>但不指明澄清问题的来源。澄清发出的时间距本章第4.2.1项规定的</w:t>
      </w:r>
      <w:r>
        <w:rPr>
          <w:rFonts w:hint="eastAsia" w:ascii="方正仿宋_GBK" w:hAnsi="方正仿宋_GBK" w:eastAsia="方正仿宋_GBK" w:cs="Times New Roman"/>
        </w:rPr>
        <w:t>竞选文件递交截止时间</w:t>
      </w:r>
      <w:r>
        <w:rPr>
          <w:rFonts w:ascii="方正仿宋_GBK" w:hAnsi="方正仿宋_GBK" w:eastAsia="方正仿宋_GBK" w:cs="Times New Roman"/>
        </w:rPr>
        <w:t>不足</w:t>
      </w:r>
      <w:r>
        <w:rPr>
          <w:rFonts w:hint="eastAsia" w:ascii="方正仿宋_GBK" w:hAnsi="方正仿宋_GBK" w:eastAsia="方正仿宋_GBK" w:cs="Times New Roman"/>
        </w:rPr>
        <w:t>3</w:t>
      </w:r>
      <w:r>
        <w:rPr>
          <w:rFonts w:ascii="方正仿宋_GBK" w:hAnsi="方正仿宋_GBK" w:eastAsia="方正仿宋_GBK" w:cs="Times New Roman"/>
        </w:rPr>
        <w:t>日的，并且澄清内容可能影响</w:t>
      </w:r>
      <w:r>
        <w:rPr>
          <w:rFonts w:hint="eastAsia" w:ascii="方正仿宋_GBK" w:hAnsi="方正仿宋_GBK" w:eastAsia="方正仿宋_GBK" w:cs="Times New Roman"/>
        </w:rPr>
        <w:t>竞选文件</w:t>
      </w:r>
      <w:r>
        <w:rPr>
          <w:rFonts w:ascii="方正仿宋_GBK" w:hAnsi="方正仿宋_GBK" w:eastAsia="方正仿宋_GBK" w:cs="Times New Roman"/>
        </w:rPr>
        <w:t>编制的</w:t>
      </w:r>
      <w:r>
        <w:rPr>
          <w:rFonts w:hint="eastAsia" w:ascii="方正仿宋_GBK" w:hAnsi="方正仿宋_GBK" w:eastAsia="方正仿宋_GBK" w:cs="Times New Roman"/>
        </w:rPr>
        <w:t>，</w:t>
      </w:r>
      <w:r>
        <w:rPr>
          <w:rFonts w:ascii="方正仿宋_GBK" w:hAnsi="方正仿宋_GBK" w:eastAsia="方正仿宋_GBK" w:cs="Times New Roman"/>
        </w:rPr>
        <w:t>将相应延长</w:t>
      </w:r>
      <w:r>
        <w:rPr>
          <w:rFonts w:hint="eastAsia" w:ascii="方正仿宋_GBK" w:hAnsi="方正仿宋_GBK" w:eastAsia="方正仿宋_GBK" w:cs="Times New Roman"/>
        </w:rPr>
        <w:t>竞选文件递交截止时间</w:t>
      </w:r>
      <w:r>
        <w:rPr>
          <w:rFonts w:ascii="方正仿宋_GBK" w:hAnsi="方正仿宋_GBK" w:eastAsia="方正仿宋_GBK" w:cs="Times New Roman"/>
        </w:rPr>
        <w:t>。</w:t>
      </w:r>
    </w:p>
    <w:p w14:paraId="4DC8BE82">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2.2.3  </w:t>
      </w:r>
      <w:r>
        <w:rPr>
          <w:rFonts w:hint="eastAsia" w:ascii="方正仿宋_GBK" w:hAnsi="方正仿宋_GBK" w:eastAsia="方正仿宋_GBK" w:cs="Times New Roman"/>
        </w:rPr>
        <w:t>竞选人</w:t>
      </w:r>
      <w:r>
        <w:rPr>
          <w:rFonts w:ascii="方正仿宋_GBK" w:hAnsi="方正仿宋_GBK" w:eastAsia="方正仿宋_GBK" w:cs="Times New Roman"/>
        </w:rPr>
        <w:t>在收到澄清后</w:t>
      </w:r>
      <w:r>
        <w:rPr>
          <w:rFonts w:hint="eastAsia" w:ascii="方正仿宋_GBK" w:hAnsi="方正仿宋_GBK" w:eastAsia="方正仿宋_GBK" w:cs="Times New Roman"/>
        </w:rPr>
        <w:t>，</w:t>
      </w:r>
      <w:r>
        <w:rPr>
          <w:rFonts w:ascii="方正仿宋_GBK" w:hAnsi="方正仿宋_GBK" w:eastAsia="方正仿宋_GBK" w:cs="Times New Roman"/>
        </w:rPr>
        <w:t>应按</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须知前附表规定的时间和形式通知</w:t>
      </w:r>
      <w:r>
        <w:rPr>
          <w:rFonts w:hint="eastAsia" w:ascii="方正仿宋_GBK" w:hAnsi="方正仿宋_GBK" w:eastAsia="方正仿宋_GBK" w:cs="Times New Roman"/>
        </w:rPr>
        <w:t>比选人，</w:t>
      </w:r>
      <w:r>
        <w:rPr>
          <w:rFonts w:ascii="方正仿宋_GBK" w:hAnsi="方正仿宋_GBK" w:eastAsia="方正仿宋_GBK" w:cs="Times New Roman"/>
        </w:rPr>
        <w:t>确认已收到该澄清。</w:t>
      </w:r>
    </w:p>
    <w:p w14:paraId="7F429375">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2.2.4  除非</w:t>
      </w:r>
      <w:r>
        <w:rPr>
          <w:rFonts w:hint="eastAsia" w:ascii="方正仿宋_GBK" w:hAnsi="方正仿宋_GBK" w:eastAsia="方正仿宋_GBK" w:cs="Times New Roman"/>
        </w:rPr>
        <w:t>比选人</w:t>
      </w:r>
      <w:r>
        <w:rPr>
          <w:rFonts w:ascii="方正仿宋_GBK" w:hAnsi="方正仿宋_GBK" w:eastAsia="方正仿宋_GBK" w:cs="Times New Roman"/>
        </w:rPr>
        <w:t>认为确有必要答复</w:t>
      </w:r>
      <w:r>
        <w:rPr>
          <w:rFonts w:hint="eastAsia" w:ascii="方正仿宋_GBK" w:hAnsi="方正仿宋_GBK" w:eastAsia="方正仿宋_GBK" w:cs="Times New Roman"/>
        </w:rPr>
        <w:t>，</w:t>
      </w:r>
      <w:r>
        <w:rPr>
          <w:rFonts w:ascii="方正仿宋_GBK" w:hAnsi="方正仿宋_GBK" w:eastAsia="方正仿宋_GBK" w:cs="Times New Roman"/>
        </w:rPr>
        <w:t>否则，</w:t>
      </w:r>
      <w:r>
        <w:rPr>
          <w:rFonts w:hint="eastAsia" w:ascii="方正仿宋_GBK" w:hAnsi="方正仿宋_GBK" w:eastAsia="方正仿宋_GBK" w:cs="Times New Roman"/>
        </w:rPr>
        <w:t>比选人</w:t>
      </w:r>
      <w:r>
        <w:rPr>
          <w:rFonts w:ascii="方正仿宋_GBK" w:hAnsi="方正仿宋_GBK" w:eastAsia="方正仿宋_GBK" w:cs="Times New Roman"/>
        </w:rPr>
        <w:t>有权拒绝回复</w:t>
      </w:r>
      <w:r>
        <w:rPr>
          <w:rFonts w:hint="eastAsia" w:ascii="方正仿宋_GBK" w:hAnsi="方正仿宋_GBK" w:eastAsia="方正仿宋_GBK" w:cs="Times New Roman"/>
        </w:rPr>
        <w:t>竞选人</w:t>
      </w:r>
      <w:r>
        <w:rPr>
          <w:rFonts w:ascii="方正仿宋_GBK" w:hAnsi="方正仿宋_GBK" w:eastAsia="方正仿宋_GBK" w:cs="Times New Roman"/>
        </w:rPr>
        <w:t>在本章第 2.2.1项规定的时间后的任何澄清要求。</w:t>
      </w:r>
    </w:p>
    <w:p w14:paraId="35314961">
      <w:pPr>
        <w:pStyle w:val="4"/>
        <w:spacing w:before="0" w:after="0" w:line="240" w:lineRule="auto"/>
        <w:ind w:left="105" w:right="105"/>
        <w:contextualSpacing/>
        <w:rPr>
          <w:rFonts w:ascii="方正仿宋_GBK" w:hAnsi="方正仿宋_GBK" w:eastAsia="方正仿宋_GBK" w:cs="Times New Roman"/>
        </w:rPr>
      </w:pPr>
      <w:bookmarkStart w:id="100" w:name="_Toc172188065"/>
      <w:bookmarkStart w:id="101" w:name="_Toc173920570"/>
      <w:r>
        <w:rPr>
          <w:rFonts w:hint="eastAsia" w:ascii="方正仿宋_GBK" w:hAnsi="方正仿宋_GBK" w:eastAsia="方正仿宋_GBK" w:cs="Times New Roman"/>
        </w:rPr>
        <w:t>2.3 比选文件的修改</w:t>
      </w:r>
      <w:bookmarkEnd w:id="100"/>
      <w:bookmarkEnd w:id="101"/>
    </w:p>
    <w:p w14:paraId="5B784DB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2.3.1 </w:t>
      </w:r>
      <w:r>
        <w:rPr>
          <w:rFonts w:hint="eastAsia" w:ascii="方正仿宋_GBK" w:hAnsi="方正仿宋_GBK" w:eastAsia="方正仿宋_GBK" w:cs="Times New Roman"/>
        </w:rPr>
        <w:t>比选人</w:t>
      </w:r>
      <w:r>
        <w:rPr>
          <w:rFonts w:ascii="方正仿宋_GBK" w:hAnsi="方正仿宋_GBK" w:eastAsia="方正仿宋_GBK" w:cs="Times New Roman"/>
        </w:rPr>
        <w:t>以</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须知前附表规定的形式修改</w:t>
      </w:r>
      <w:r>
        <w:rPr>
          <w:rFonts w:hint="eastAsia" w:ascii="方正仿宋_GBK" w:hAnsi="方正仿宋_GBK" w:eastAsia="方正仿宋_GBK" w:cs="Times New Roman"/>
        </w:rPr>
        <w:t>比选文件，</w:t>
      </w:r>
      <w:r>
        <w:rPr>
          <w:rFonts w:ascii="方正仿宋_GBK" w:hAnsi="方正仿宋_GBK" w:eastAsia="方正仿宋_GBK" w:cs="Times New Roman"/>
        </w:rPr>
        <w:t>并通知所有已</w:t>
      </w:r>
      <w:r>
        <w:rPr>
          <w:rFonts w:hint="eastAsia" w:ascii="方正仿宋_GBK" w:hAnsi="方正仿宋_GBK" w:eastAsia="方正仿宋_GBK" w:cs="Times New Roman"/>
        </w:rPr>
        <w:t>获取比选文件</w:t>
      </w:r>
      <w:r>
        <w:rPr>
          <w:rFonts w:ascii="方正仿宋_GBK" w:hAnsi="方正仿宋_GBK" w:eastAsia="方正仿宋_GBK" w:cs="Times New Roman"/>
        </w:rPr>
        <w:t>的</w:t>
      </w:r>
      <w:r>
        <w:rPr>
          <w:rFonts w:hint="eastAsia" w:ascii="方正仿宋_GBK" w:hAnsi="方正仿宋_GBK" w:eastAsia="方正仿宋_GBK" w:cs="Times New Roman"/>
        </w:rPr>
        <w:t>竞选人</w:t>
      </w:r>
      <w:r>
        <w:rPr>
          <w:rFonts w:ascii="方正仿宋_GBK" w:hAnsi="方正仿宋_GBK" w:eastAsia="方正仿宋_GBK" w:cs="Times New Roman"/>
        </w:rPr>
        <w:t>。修改</w:t>
      </w:r>
      <w:r>
        <w:rPr>
          <w:rFonts w:hint="eastAsia" w:ascii="方正仿宋_GBK" w:hAnsi="方正仿宋_GBK" w:eastAsia="方正仿宋_GBK" w:cs="Times New Roman"/>
        </w:rPr>
        <w:t>比选文件</w:t>
      </w:r>
      <w:r>
        <w:rPr>
          <w:rFonts w:ascii="方正仿宋_GBK" w:hAnsi="方正仿宋_GBK" w:eastAsia="方正仿宋_GBK" w:cs="Times New Roman"/>
        </w:rPr>
        <w:t>的时间距本章第 4.2.1项规定的</w:t>
      </w:r>
      <w:r>
        <w:rPr>
          <w:rFonts w:hint="eastAsia" w:ascii="方正仿宋_GBK" w:hAnsi="方正仿宋_GBK" w:eastAsia="方正仿宋_GBK" w:cs="Times New Roman"/>
        </w:rPr>
        <w:t>竞选文件递交截止时间</w:t>
      </w:r>
      <w:r>
        <w:rPr>
          <w:rFonts w:ascii="方正仿宋_GBK" w:hAnsi="方正仿宋_GBK" w:eastAsia="方正仿宋_GBK" w:cs="Times New Roman"/>
        </w:rPr>
        <w:t>不足</w:t>
      </w:r>
      <w:r>
        <w:rPr>
          <w:rFonts w:hint="eastAsia" w:ascii="方正仿宋_GBK" w:hAnsi="方正仿宋_GBK" w:eastAsia="方正仿宋_GBK" w:cs="Times New Roman"/>
        </w:rPr>
        <w:t>3</w:t>
      </w:r>
      <w:r>
        <w:rPr>
          <w:rFonts w:ascii="方正仿宋_GBK" w:hAnsi="方正仿宋_GBK" w:eastAsia="方正仿宋_GBK" w:cs="Times New Roman"/>
        </w:rPr>
        <w:t>日的，并且修改内容可能影响</w:t>
      </w:r>
      <w:r>
        <w:rPr>
          <w:rFonts w:hint="eastAsia" w:ascii="方正仿宋_GBK" w:hAnsi="方正仿宋_GBK" w:eastAsia="方正仿宋_GBK" w:cs="Times New Roman"/>
        </w:rPr>
        <w:t>竞选文件</w:t>
      </w:r>
      <w:r>
        <w:rPr>
          <w:rFonts w:ascii="方正仿宋_GBK" w:hAnsi="方正仿宋_GBK" w:eastAsia="方正仿宋_GBK" w:cs="Times New Roman"/>
        </w:rPr>
        <w:t>编制的，将相应延长</w:t>
      </w:r>
      <w:r>
        <w:rPr>
          <w:rFonts w:hint="eastAsia" w:ascii="方正仿宋_GBK" w:hAnsi="方正仿宋_GBK" w:eastAsia="方正仿宋_GBK" w:cs="Times New Roman"/>
        </w:rPr>
        <w:t>竞选文件递交截止时间</w:t>
      </w:r>
      <w:r>
        <w:rPr>
          <w:rFonts w:ascii="方正仿宋_GBK" w:hAnsi="方正仿宋_GBK" w:eastAsia="方正仿宋_GBK" w:cs="Times New Roman"/>
        </w:rPr>
        <w:t>。</w:t>
      </w:r>
    </w:p>
    <w:p w14:paraId="27F3044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2.3.2  </w:t>
      </w:r>
      <w:r>
        <w:rPr>
          <w:rFonts w:hint="eastAsia" w:ascii="方正仿宋_GBK" w:hAnsi="方正仿宋_GBK" w:eastAsia="方正仿宋_GBK" w:cs="Times New Roman"/>
        </w:rPr>
        <w:t>竞选人</w:t>
      </w:r>
      <w:r>
        <w:rPr>
          <w:rFonts w:ascii="方正仿宋_GBK" w:hAnsi="方正仿宋_GBK" w:eastAsia="方正仿宋_GBK" w:cs="Times New Roman"/>
        </w:rPr>
        <w:t>收到修改内容后</w:t>
      </w:r>
      <w:r>
        <w:rPr>
          <w:rFonts w:hint="eastAsia" w:ascii="方正仿宋_GBK" w:hAnsi="方正仿宋_GBK" w:eastAsia="方正仿宋_GBK" w:cs="Times New Roman"/>
        </w:rPr>
        <w:t>，</w:t>
      </w:r>
      <w:r>
        <w:rPr>
          <w:rFonts w:ascii="方正仿宋_GBK" w:hAnsi="方正仿宋_GBK" w:eastAsia="方正仿宋_GBK" w:cs="Times New Roman"/>
        </w:rPr>
        <w:t>应按</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须知前附表规定的时间和形式通知</w:t>
      </w:r>
      <w:r>
        <w:rPr>
          <w:rFonts w:hint="eastAsia" w:ascii="方正仿宋_GBK" w:hAnsi="方正仿宋_GBK" w:eastAsia="方正仿宋_GBK" w:cs="Times New Roman"/>
        </w:rPr>
        <w:t>比选人，</w:t>
      </w:r>
      <w:r>
        <w:rPr>
          <w:rFonts w:ascii="方正仿宋_GBK" w:hAnsi="方正仿宋_GBK" w:eastAsia="方正仿宋_GBK" w:cs="Times New Roman"/>
        </w:rPr>
        <w:t>确认已收到该修改。</w:t>
      </w:r>
    </w:p>
    <w:p w14:paraId="23470C51">
      <w:pPr>
        <w:pStyle w:val="4"/>
        <w:spacing w:before="0" w:after="0" w:line="240" w:lineRule="auto"/>
        <w:ind w:left="105" w:right="105"/>
        <w:contextualSpacing/>
        <w:rPr>
          <w:rFonts w:ascii="方正仿宋_GBK" w:hAnsi="方正仿宋_GBK" w:eastAsia="方正仿宋_GBK" w:cs="Times New Roman"/>
        </w:rPr>
      </w:pPr>
      <w:bookmarkStart w:id="102" w:name="_Toc173920571"/>
      <w:bookmarkStart w:id="103" w:name="_Toc172188066"/>
      <w:r>
        <w:rPr>
          <w:rFonts w:hint="eastAsia" w:ascii="方正仿宋_GBK" w:hAnsi="方正仿宋_GBK" w:eastAsia="方正仿宋_GBK" w:cs="Times New Roman"/>
        </w:rPr>
        <w:t>2.4 比选文件的异议</w:t>
      </w:r>
      <w:bookmarkEnd w:id="102"/>
      <w:bookmarkEnd w:id="103"/>
    </w:p>
    <w:p w14:paraId="662E588B">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竞选人</w:t>
      </w:r>
      <w:r>
        <w:rPr>
          <w:rFonts w:ascii="方正仿宋_GBK" w:hAnsi="方正仿宋_GBK" w:eastAsia="方正仿宋_GBK" w:cs="Times New Roman"/>
        </w:rPr>
        <w:t>或者其他利害关系人对</w:t>
      </w:r>
      <w:r>
        <w:rPr>
          <w:rFonts w:hint="eastAsia" w:ascii="方正仿宋_GBK" w:hAnsi="方正仿宋_GBK" w:eastAsia="方正仿宋_GBK" w:cs="Times New Roman"/>
        </w:rPr>
        <w:t>比选文件</w:t>
      </w:r>
      <w:r>
        <w:rPr>
          <w:rFonts w:ascii="方正仿宋_GBK" w:hAnsi="方正仿宋_GBK" w:eastAsia="方正仿宋_GBK" w:cs="Times New Roman"/>
        </w:rPr>
        <w:t>有异议的</w:t>
      </w:r>
      <w:r>
        <w:rPr>
          <w:rFonts w:hint="eastAsia" w:ascii="方正仿宋_GBK" w:hAnsi="方正仿宋_GBK" w:eastAsia="方正仿宋_GBK" w:cs="Times New Roman"/>
        </w:rPr>
        <w:t>，</w:t>
      </w:r>
      <w:r>
        <w:rPr>
          <w:rFonts w:ascii="方正仿宋_GBK" w:hAnsi="方正仿宋_GBK" w:eastAsia="方正仿宋_GBK" w:cs="Times New Roman"/>
        </w:rPr>
        <w:t>应当在</w:t>
      </w:r>
      <w:r>
        <w:rPr>
          <w:rFonts w:hint="eastAsia" w:ascii="方正仿宋_GBK" w:hAnsi="方正仿宋_GBK" w:eastAsia="方正仿宋_GBK" w:cs="Times New Roman"/>
        </w:rPr>
        <w:t>竞选文件递交截止时间3</w:t>
      </w:r>
      <w:r>
        <w:rPr>
          <w:rFonts w:ascii="方正仿宋_GBK" w:hAnsi="方正仿宋_GBK" w:eastAsia="方正仿宋_GBK" w:cs="Times New Roman"/>
        </w:rPr>
        <w:t>日前以书面形式提出。</w:t>
      </w:r>
      <w:r>
        <w:rPr>
          <w:rFonts w:hint="eastAsia" w:ascii="方正仿宋_GBK" w:hAnsi="方正仿宋_GBK" w:eastAsia="方正仿宋_GBK" w:cs="Times New Roman"/>
        </w:rPr>
        <w:t>比选人</w:t>
      </w:r>
      <w:r>
        <w:rPr>
          <w:rFonts w:ascii="方正仿宋_GBK" w:hAnsi="方正仿宋_GBK" w:eastAsia="方正仿宋_GBK" w:cs="Times New Roman"/>
        </w:rPr>
        <w:t>将在收到异议之日起3日内作出答复；作出答复前</w:t>
      </w:r>
      <w:r>
        <w:rPr>
          <w:rFonts w:hint="eastAsia" w:ascii="方正仿宋_GBK" w:hAnsi="方正仿宋_GBK" w:eastAsia="方正仿宋_GBK" w:cs="Times New Roman"/>
        </w:rPr>
        <w:t>，</w:t>
      </w:r>
      <w:r>
        <w:rPr>
          <w:rFonts w:ascii="方正仿宋_GBK" w:hAnsi="方正仿宋_GBK" w:eastAsia="方正仿宋_GBK" w:cs="Times New Roman"/>
        </w:rPr>
        <w:t>将暂停比选竞选活动。</w:t>
      </w:r>
    </w:p>
    <w:p w14:paraId="3263D403">
      <w:pPr>
        <w:pStyle w:val="3"/>
        <w:spacing w:before="0" w:after="0" w:line="240" w:lineRule="auto"/>
        <w:ind w:left="105" w:right="105"/>
        <w:contextualSpacing/>
        <w:rPr>
          <w:rFonts w:ascii="方正黑体_GBK" w:hAnsi="方正黑体_GBK" w:eastAsia="方正黑体_GBK" w:cs="Times New Roman"/>
        </w:rPr>
      </w:pPr>
      <w:bookmarkStart w:id="104" w:name="_Toc172188067"/>
      <w:bookmarkStart w:id="105" w:name="_Toc173920572"/>
      <w:r>
        <w:rPr>
          <w:rFonts w:hint="eastAsia" w:ascii="方正黑体_GBK" w:hAnsi="方正黑体_GBK" w:eastAsia="方正黑体_GBK" w:cs="Times New Roman"/>
          <w:lang w:val="en-US" w:eastAsia="zh-CN"/>
        </w:rPr>
        <w:t>3</w:t>
      </w:r>
      <w:r>
        <w:rPr>
          <w:rFonts w:hint="eastAsia" w:ascii="方正黑体_GBK" w:hAnsi="方正黑体_GBK" w:eastAsia="方正黑体_GBK" w:cs="Times New Roman"/>
        </w:rPr>
        <w:t>.竞选文件</w:t>
      </w:r>
      <w:bookmarkEnd w:id="104"/>
      <w:bookmarkEnd w:id="105"/>
    </w:p>
    <w:p w14:paraId="62B7BF47">
      <w:pPr>
        <w:pStyle w:val="4"/>
        <w:spacing w:before="0" w:after="0" w:line="240" w:lineRule="auto"/>
        <w:ind w:left="105" w:right="105"/>
        <w:contextualSpacing/>
        <w:rPr>
          <w:rFonts w:ascii="方正仿宋_GBK" w:hAnsi="方正仿宋_GBK" w:eastAsia="方正仿宋_GBK" w:cs="Times New Roman"/>
        </w:rPr>
      </w:pPr>
      <w:bookmarkStart w:id="106" w:name="_Toc172188068"/>
      <w:bookmarkStart w:id="107" w:name="_Toc173920573"/>
      <w:r>
        <w:rPr>
          <w:rFonts w:hint="eastAsia" w:ascii="方正仿宋_GBK" w:hAnsi="方正仿宋_GBK" w:eastAsia="方正仿宋_GBK" w:cs="Times New Roman"/>
        </w:rPr>
        <w:t>3.1 竞选文件的组成</w:t>
      </w:r>
      <w:bookmarkEnd w:id="106"/>
      <w:bookmarkEnd w:id="107"/>
    </w:p>
    <w:p w14:paraId="019A97E2">
      <w:pPr>
        <w:ind w:left="105" w:right="105" w:firstLine="420" w:firstLineChars="200"/>
        <w:contextualSpacing/>
        <w:outlineLvl w:val="3"/>
        <w:rPr>
          <w:rFonts w:ascii="方正仿宋_GBK" w:hAnsi="方正仿宋_GBK" w:eastAsia="方正仿宋_GBK" w:cs="Times New Roman"/>
        </w:rPr>
      </w:pPr>
      <w:r>
        <w:rPr>
          <w:rFonts w:ascii="方正仿宋_GBK" w:hAnsi="方正仿宋_GBK" w:eastAsia="方正仿宋_GBK" w:cs="Times New Roman"/>
        </w:rPr>
        <w:t xml:space="preserve">3.1.1  </w:t>
      </w:r>
      <w:r>
        <w:rPr>
          <w:rFonts w:hint="eastAsia" w:ascii="方正仿宋_GBK" w:hAnsi="方正仿宋_GBK" w:eastAsia="方正仿宋_GBK" w:cs="Times New Roman"/>
        </w:rPr>
        <w:t>竞选文件</w:t>
      </w:r>
      <w:r>
        <w:rPr>
          <w:rFonts w:ascii="方正仿宋_GBK" w:hAnsi="方正仿宋_GBK" w:eastAsia="方正仿宋_GBK" w:cs="Times New Roman"/>
        </w:rPr>
        <w:t>应包括下列内容：</w:t>
      </w:r>
    </w:p>
    <w:p w14:paraId="7807D6B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（1）竞选函；</w:t>
      </w:r>
    </w:p>
    <w:p w14:paraId="362AC0E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（2）法定代表人（单位负责人） 身份证明或授权委托书；</w:t>
      </w:r>
    </w:p>
    <w:p w14:paraId="17355A43">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（3）联合体协议书</w:t>
      </w:r>
      <w:r>
        <w:rPr>
          <w:rFonts w:hint="eastAsia" w:ascii="方正仿宋_GBK" w:hAnsi="方正仿宋_GBK" w:eastAsia="方正仿宋_GBK" w:cs="Times New Roman"/>
        </w:rPr>
        <w:t>（如有）</w:t>
      </w:r>
      <w:r>
        <w:rPr>
          <w:rFonts w:ascii="方正仿宋_GBK" w:hAnsi="方正仿宋_GBK" w:eastAsia="方正仿宋_GBK" w:cs="Times New Roman"/>
        </w:rPr>
        <w:t>；</w:t>
      </w:r>
    </w:p>
    <w:p w14:paraId="7A53DDB2">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4</w:t>
      </w:r>
      <w:r>
        <w:rPr>
          <w:rFonts w:ascii="方正仿宋_GBK" w:hAnsi="方正仿宋_GBK" w:eastAsia="方正仿宋_GBK" w:cs="Times New Roman"/>
        </w:rPr>
        <w:t>）商务和技术偏差表；</w:t>
      </w:r>
    </w:p>
    <w:p w14:paraId="3259FD7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5</w:t>
      </w:r>
      <w:r>
        <w:rPr>
          <w:rFonts w:ascii="方正仿宋_GBK" w:hAnsi="方正仿宋_GBK" w:eastAsia="方正仿宋_GBK" w:cs="Times New Roman"/>
        </w:rPr>
        <w:t>）分项报价表；</w:t>
      </w:r>
    </w:p>
    <w:p w14:paraId="4E6AF6DB">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6</w:t>
      </w:r>
      <w:r>
        <w:rPr>
          <w:rFonts w:ascii="方正仿宋_GBK" w:hAnsi="方正仿宋_GBK" w:eastAsia="方正仿宋_GBK" w:cs="Times New Roman"/>
        </w:rPr>
        <w:t>）资格审查资料；</w:t>
      </w:r>
    </w:p>
    <w:p w14:paraId="05EC3D2E">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w:t>
      </w:r>
      <w:r>
        <w:rPr>
          <w:rFonts w:hint="eastAsia" w:ascii="方正仿宋_GBK" w:hAnsi="方正仿宋_GBK" w:eastAsia="方正仿宋_GBK" w:cs="Times New Roman"/>
        </w:rPr>
        <w:t>7</w:t>
      </w:r>
      <w:r>
        <w:rPr>
          <w:rFonts w:ascii="方正仿宋_GBK" w:hAnsi="方正仿宋_GBK" w:eastAsia="方正仿宋_GBK" w:cs="Times New Roman"/>
        </w:rPr>
        <w:t>）</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须知前附表规定的其他资料。</w:t>
      </w:r>
    </w:p>
    <w:p w14:paraId="3F7D5304">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竞选人</w:t>
      </w:r>
      <w:r>
        <w:rPr>
          <w:rFonts w:ascii="方正仿宋_GBK" w:hAnsi="方正仿宋_GBK" w:eastAsia="方正仿宋_GBK" w:cs="Times New Roman"/>
        </w:rPr>
        <w:t>在</w:t>
      </w:r>
      <w:r>
        <w:rPr>
          <w:rFonts w:hint="eastAsia" w:ascii="方正仿宋_GBK" w:hAnsi="方正仿宋_GBK" w:eastAsia="方正仿宋_GBK" w:cs="Times New Roman"/>
        </w:rPr>
        <w:t>评审</w:t>
      </w:r>
      <w:r>
        <w:rPr>
          <w:rFonts w:ascii="方正仿宋_GBK" w:hAnsi="方正仿宋_GBK" w:eastAsia="方正仿宋_GBK" w:cs="Times New Roman"/>
        </w:rPr>
        <w:t>过程中作出的符合法律法规和</w:t>
      </w:r>
      <w:r>
        <w:rPr>
          <w:rFonts w:hint="eastAsia" w:ascii="方正仿宋_GBK" w:hAnsi="方正仿宋_GBK" w:eastAsia="方正仿宋_GBK" w:cs="Times New Roman"/>
        </w:rPr>
        <w:t>比选文件</w:t>
      </w:r>
      <w:r>
        <w:rPr>
          <w:rFonts w:ascii="方正仿宋_GBK" w:hAnsi="方正仿宋_GBK" w:eastAsia="方正仿宋_GBK" w:cs="Times New Roman"/>
        </w:rPr>
        <w:t>规定的澄清确认</w:t>
      </w:r>
      <w:r>
        <w:rPr>
          <w:rFonts w:hint="eastAsia" w:ascii="方正仿宋_GBK" w:hAnsi="方正仿宋_GBK" w:eastAsia="方正仿宋_GBK" w:cs="Times New Roman"/>
        </w:rPr>
        <w:t>，</w:t>
      </w:r>
      <w:r>
        <w:rPr>
          <w:rFonts w:ascii="方正仿宋_GBK" w:hAnsi="方正仿宋_GBK" w:eastAsia="方正仿宋_GBK" w:cs="Times New Roman"/>
        </w:rPr>
        <w:t>构成</w:t>
      </w:r>
      <w:r>
        <w:rPr>
          <w:rFonts w:hint="eastAsia" w:ascii="方正仿宋_GBK" w:hAnsi="方正仿宋_GBK" w:eastAsia="方正仿宋_GBK" w:cs="Times New Roman"/>
        </w:rPr>
        <w:t>竞选文件</w:t>
      </w:r>
      <w:r>
        <w:rPr>
          <w:rFonts w:ascii="方正仿宋_GBK" w:hAnsi="方正仿宋_GBK" w:eastAsia="方正仿宋_GBK" w:cs="Times New Roman"/>
        </w:rPr>
        <w:t>的组成部分。</w:t>
      </w:r>
    </w:p>
    <w:p w14:paraId="596F863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3.1.2  </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须知前附表规定不接受联合体竞选的</w:t>
      </w:r>
      <w:r>
        <w:rPr>
          <w:rFonts w:hint="eastAsia" w:ascii="方正仿宋_GBK" w:hAnsi="方正仿宋_GBK" w:eastAsia="方正仿宋_GBK" w:cs="Times New Roman"/>
        </w:rPr>
        <w:t>，</w:t>
      </w:r>
      <w:r>
        <w:rPr>
          <w:rFonts w:ascii="方正仿宋_GBK" w:hAnsi="方正仿宋_GBK" w:eastAsia="方正仿宋_GBK" w:cs="Times New Roman"/>
        </w:rPr>
        <w:t>或</w:t>
      </w:r>
      <w:r>
        <w:rPr>
          <w:rFonts w:hint="eastAsia" w:ascii="方正仿宋_GBK" w:hAnsi="方正仿宋_GBK" w:eastAsia="方正仿宋_GBK" w:cs="Times New Roman"/>
        </w:rPr>
        <w:t>竞选人</w:t>
      </w:r>
      <w:r>
        <w:rPr>
          <w:rFonts w:ascii="方正仿宋_GBK" w:hAnsi="方正仿宋_GBK" w:eastAsia="方正仿宋_GBK" w:cs="Times New Roman"/>
        </w:rPr>
        <w:t>没有组成联合体的</w:t>
      </w:r>
      <w:r>
        <w:rPr>
          <w:rFonts w:hint="eastAsia" w:ascii="方正仿宋_GBK" w:hAnsi="方正仿宋_GBK" w:eastAsia="方正仿宋_GBK" w:cs="Times New Roman"/>
        </w:rPr>
        <w:t>，竞选文件</w:t>
      </w:r>
      <w:r>
        <w:rPr>
          <w:rFonts w:ascii="方正仿宋_GBK" w:hAnsi="方正仿宋_GBK" w:eastAsia="方正仿宋_GBK" w:cs="Times New Roman"/>
        </w:rPr>
        <w:t>不包括本章第 3.1.1（3） 目所指的联合体协议书。</w:t>
      </w:r>
    </w:p>
    <w:p w14:paraId="006C638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3.1.3  </w:t>
      </w:r>
      <w:r>
        <w:rPr>
          <w:rFonts w:hint="eastAsia" w:ascii="方正仿宋_GBK" w:hAnsi="方正仿宋_GBK" w:eastAsia="方正仿宋_GBK" w:cs="Times New Roman"/>
        </w:rPr>
        <w:t>竞选人</w:t>
      </w:r>
      <w:r>
        <w:rPr>
          <w:rFonts w:ascii="方正仿宋_GBK" w:hAnsi="方正仿宋_GBK" w:eastAsia="方正仿宋_GBK" w:cs="Times New Roman"/>
        </w:rPr>
        <w:t>须知前附表未要求提交</w:t>
      </w:r>
      <w:r>
        <w:rPr>
          <w:rFonts w:hint="eastAsia" w:ascii="方正仿宋_GBK" w:hAnsi="方正仿宋_GBK" w:eastAsia="方正仿宋_GBK" w:cs="Times New Roman"/>
        </w:rPr>
        <w:t>竞选保证金</w:t>
      </w:r>
      <w:r>
        <w:rPr>
          <w:rFonts w:ascii="方正仿宋_GBK" w:hAnsi="方正仿宋_GBK" w:eastAsia="方正仿宋_GBK" w:cs="Times New Roman"/>
        </w:rPr>
        <w:t>的</w:t>
      </w:r>
      <w:r>
        <w:rPr>
          <w:rFonts w:hint="eastAsia" w:ascii="方正仿宋_GBK" w:hAnsi="方正仿宋_GBK" w:eastAsia="方正仿宋_GBK" w:cs="Times New Roman"/>
        </w:rPr>
        <w:t>，竞选文件</w:t>
      </w:r>
      <w:r>
        <w:rPr>
          <w:rFonts w:ascii="方正仿宋_GBK" w:hAnsi="方正仿宋_GBK" w:eastAsia="方正仿宋_GBK" w:cs="Times New Roman"/>
        </w:rPr>
        <w:t>不包括本章所指的</w:t>
      </w:r>
      <w:r>
        <w:rPr>
          <w:rFonts w:hint="eastAsia" w:ascii="方正仿宋_GBK" w:hAnsi="方正仿宋_GBK" w:eastAsia="方正仿宋_GBK" w:cs="Times New Roman"/>
        </w:rPr>
        <w:t>竞选保证金</w:t>
      </w:r>
      <w:r>
        <w:rPr>
          <w:rFonts w:ascii="方正仿宋_GBK" w:hAnsi="方正仿宋_GBK" w:eastAsia="方正仿宋_GBK" w:cs="Times New Roman"/>
        </w:rPr>
        <w:t>。</w:t>
      </w:r>
    </w:p>
    <w:p w14:paraId="1EA474C7">
      <w:pPr>
        <w:pStyle w:val="4"/>
        <w:spacing w:before="0" w:after="0" w:line="240" w:lineRule="auto"/>
        <w:ind w:left="105" w:right="105"/>
        <w:contextualSpacing/>
        <w:rPr>
          <w:rFonts w:ascii="方正仿宋_GBK" w:hAnsi="方正仿宋_GBK" w:eastAsia="方正仿宋_GBK" w:cs="Times New Roman"/>
        </w:rPr>
      </w:pPr>
      <w:bookmarkStart w:id="108" w:name="_Toc172188069"/>
      <w:bookmarkStart w:id="109" w:name="_Toc173920574"/>
      <w:r>
        <w:rPr>
          <w:rFonts w:hint="eastAsia" w:ascii="方正仿宋_GBK" w:hAnsi="方正仿宋_GBK" w:eastAsia="方正仿宋_GBK" w:cs="Times New Roman"/>
        </w:rPr>
        <w:t>3.2 竞选报价</w:t>
      </w:r>
      <w:bookmarkEnd w:id="108"/>
      <w:bookmarkEnd w:id="109"/>
    </w:p>
    <w:p w14:paraId="1FB846B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3.2.1  竞选报价应包括国家规定的增值税税金</w:t>
      </w:r>
      <w:r>
        <w:rPr>
          <w:rFonts w:hint="eastAsia" w:ascii="方正仿宋_GBK" w:hAnsi="方正仿宋_GBK" w:eastAsia="方正仿宋_GBK" w:cs="Times New Roman"/>
        </w:rPr>
        <w:t>，</w:t>
      </w:r>
      <w:r>
        <w:rPr>
          <w:rFonts w:ascii="方正仿宋_GBK" w:hAnsi="方正仿宋_GBK" w:eastAsia="方正仿宋_GBK" w:cs="Times New Roman"/>
        </w:rPr>
        <w:t>除</w:t>
      </w:r>
      <w:r>
        <w:rPr>
          <w:rFonts w:hint="eastAsia" w:ascii="方正仿宋_GBK" w:hAnsi="方正仿宋_GBK" w:eastAsia="方正仿宋_GBK" w:cs="Times New Roman"/>
        </w:rPr>
        <w:t>竞选人</w:t>
      </w:r>
      <w:r>
        <w:rPr>
          <w:rFonts w:ascii="方正仿宋_GBK" w:hAnsi="方正仿宋_GBK" w:eastAsia="方正仿宋_GBK" w:cs="Times New Roman"/>
        </w:rPr>
        <w:t>须知前附表另有规定外</w:t>
      </w:r>
      <w:r>
        <w:rPr>
          <w:rFonts w:hint="eastAsia" w:ascii="方正仿宋_GBK" w:hAnsi="方正仿宋_GBK" w:eastAsia="方正仿宋_GBK" w:cs="Times New Roman"/>
        </w:rPr>
        <w:t>，</w:t>
      </w:r>
      <w:r>
        <w:rPr>
          <w:rFonts w:ascii="方正仿宋_GBK" w:hAnsi="方正仿宋_GBK" w:eastAsia="方正仿宋_GBK" w:cs="Times New Roman"/>
        </w:rPr>
        <w:t>增值税税金按一般计税方法计算。</w:t>
      </w:r>
      <w:r>
        <w:rPr>
          <w:rFonts w:hint="eastAsia" w:ascii="方正仿宋_GBK" w:hAnsi="方正仿宋_GBK" w:eastAsia="方正仿宋_GBK" w:cs="Times New Roman"/>
        </w:rPr>
        <w:t>竞选人</w:t>
      </w:r>
      <w:r>
        <w:rPr>
          <w:rFonts w:ascii="方正仿宋_GBK" w:hAnsi="方正仿宋_GBK" w:eastAsia="方正仿宋_GBK" w:cs="Times New Roman"/>
        </w:rPr>
        <w:t>应按第</w:t>
      </w:r>
      <w:r>
        <w:rPr>
          <w:rFonts w:hint="eastAsia" w:ascii="方正仿宋_GBK" w:hAnsi="方正仿宋_GBK" w:eastAsia="方正仿宋_GBK" w:cs="Times New Roman"/>
          <w:lang w:eastAsia="zh-CN"/>
        </w:rPr>
        <w:t>五</w:t>
      </w:r>
      <w:r>
        <w:rPr>
          <w:rFonts w:ascii="方正仿宋_GBK" w:hAnsi="方正仿宋_GBK" w:eastAsia="方正仿宋_GBK" w:cs="Times New Roman"/>
        </w:rPr>
        <w:t>章“</w:t>
      </w:r>
      <w:r>
        <w:rPr>
          <w:rFonts w:hint="eastAsia" w:ascii="方正仿宋_GBK" w:hAnsi="方正仿宋_GBK" w:eastAsia="方正仿宋_GBK" w:cs="Times New Roman"/>
        </w:rPr>
        <w:t>竞选文件</w:t>
      </w:r>
      <w:r>
        <w:rPr>
          <w:rFonts w:ascii="方正仿宋_GBK" w:hAnsi="方正仿宋_GBK" w:eastAsia="方正仿宋_GBK" w:cs="Times New Roman"/>
        </w:rPr>
        <w:t>格式”的要求在竞选函中进行报价并填写分项报价表。</w:t>
      </w:r>
    </w:p>
    <w:p w14:paraId="47ADBD0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3.2.2  </w:t>
      </w:r>
      <w:r>
        <w:rPr>
          <w:rFonts w:hint="eastAsia" w:ascii="方正仿宋_GBK" w:hAnsi="方正仿宋_GBK" w:eastAsia="方正仿宋_GBK" w:cs="Times New Roman"/>
        </w:rPr>
        <w:t>竞选人</w:t>
      </w:r>
      <w:r>
        <w:rPr>
          <w:rFonts w:ascii="方正仿宋_GBK" w:hAnsi="方正仿宋_GBK" w:eastAsia="方正仿宋_GBK" w:cs="Times New Roman"/>
        </w:rPr>
        <w:t>应充分了解该项目的总体情况以及影响竞选报价的其他要素。</w:t>
      </w:r>
    </w:p>
    <w:p w14:paraId="65CD493E">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3.2.3  竞选报价为各分项报价金额之和</w:t>
      </w:r>
      <w:r>
        <w:rPr>
          <w:rFonts w:hint="eastAsia" w:ascii="方正仿宋_GBK" w:hAnsi="方正仿宋_GBK" w:eastAsia="方正仿宋_GBK" w:cs="Times New Roman"/>
        </w:rPr>
        <w:t>，</w:t>
      </w:r>
      <w:r>
        <w:rPr>
          <w:rFonts w:ascii="方正仿宋_GBK" w:hAnsi="方正仿宋_GBK" w:eastAsia="方正仿宋_GBK" w:cs="Times New Roman"/>
        </w:rPr>
        <w:t>竞选报价与分项报价的合价不一致的</w:t>
      </w:r>
      <w:r>
        <w:rPr>
          <w:rFonts w:hint="eastAsia" w:ascii="方正仿宋_GBK" w:hAnsi="方正仿宋_GBK" w:eastAsia="方正仿宋_GBK" w:cs="Times New Roman"/>
        </w:rPr>
        <w:t>，</w:t>
      </w:r>
      <w:r>
        <w:rPr>
          <w:rFonts w:ascii="方正仿宋_GBK" w:hAnsi="方正仿宋_GBK" w:eastAsia="方正仿宋_GBK" w:cs="Times New Roman"/>
        </w:rPr>
        <w:t>应以各分项合价累计数为准</w:t>
      </w:r>
      <w:r>
        <w:rPr>
          <w:rFonts w:hint="eastAsia" w:ascii="方正仿宋_GBK" w:hAnsi="方正仿宋_GBK" w:eastAsia="方正仿宋_GBK" w:cs="Times New Roman"/>
        </w:rPr>
        <w:t>，</w:t>
      </w:r>
      <w:r>
        <w:rPr>
          <w:rFonts w:ascii="方正仿宋_GBK" w:hAnsi="方正仿宋_GBK" w:eastAsia="方正仿宋_GBK" w:cs="Times New Roman"/>
        </w:rPr>
        <w:t>修正竞选报价</w:t>
      </w:r>
      <w:r>
        <w:rPr>
          <w:rFonts w:hint="eastAsia" w:ascii="方正仿宋_GBK" w:hAnsi="方正仿宋_GBK" w:eastAsia="方正仿宋_GBK" w:cs="Times New Roman"/>
        </w:rPr>
        <w:t>；</w:t>
      </w:r>
      <w:r>
        <w:rPr>
          <w:rFonts w:ascii="方正仿宋_GBK" w:hAnsi="方正仿宋_GBK" w:eastAsia="方正仿宋_GBK" w:cs="Times New Roman"/>
        </w:rPr>
        <w:t>如分项报价中存在缺漏项，则视为缺漏项价格已包含在其他分项报价之中。</w:t>
      </w:r>
      <w:r>
        <w:rPr>
          <w:rFonts w:hint="eastAsia" w:ascii="方正仿宋_GBK" w:hAnsi="方正仿宋_GBK" w:eastAsia="方正仿宋_GBK" w:cs="Times New Roman"/>
        </w:rPr>
        <w:t>竞选人</w:t>
      </w:r>
      <w:r>
        <w:rPr>
          <w:rFonts w:ascii="方正仿宋_GBK" w:hAnsi="方正仿宋_GBK" w:eastAsia="方正仿宋_GBK" w:cs="Times New Roman"/>
        </w:rPr>
        <w:t>在</w:t>
      </w:r>
      <w:r>
        <w:rPr>
          <w:rFonts w:hint="eastAsia" w:ascii="方正仿宋_GBK" w:hAnsi="方正仿宋_GBK" w:eastAsia="方正仿宋_GBK" w:cs="Times New Roman"/>
        </w:rPr>
        <w:t>竞选文件递交截止时间</w:t>
      </w:r>
      <w:r>
        <w:rPr>
          <w:rFonts w:ascii="方正仿宋_GBK" w:hAnsi="方正仿宋_GBK" w:eastAsia="方正仿宋_GBK" w:cs="Times New Roman"/>
        </w:rPr>
        <w:t>前修改竞选函中的竞选报价总额，应同时修改</w:t>
      </w:r>
      <w:r>
        <w:rPr>
          <w:rFonts w:hint="eastAsia" w:ascii="方正仿宋_GBK" w:hAnsi="方正仿宋_GBK" w:eastAsia="方正仿宋_GBK" w:cs="Times New Roman"/>
        </w:rPr>
        <w:t>竞选文件</w:t>
      </w:r>
      <w:r>
        <w:rPr>
          <w:rFonts w:ascii="方正仿宋_GBK" w:hAnsi="方正仿宋_GBK" w:eastAsia="方正仿宋_GBK" w:cs="Times New Roman"/>
        </w:rPr>
        <w:t>“分项报价表”中的相应报价。此修改须符合本章第4.3 款的有关要求。</w:t>
      </w:r>
    </w:p>
    <w:p w14:paraId="44804A5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3.2.4  </w:t>
      </w:r>
      <w:r>
        <w:rPr>
          <w:rFonts w:hint="eastAsia" w:ascii="方正仿宋_GBK" w:hAnsi="方正仿宋_GBK" w:eastAsia="方正仿宋_GBK" w:cs="Times New Roman"/>
        </w:rPr>
        <w:t>比选人</w:t>
      </w:r>
      <w:r>
        <w:rPr>
          <w:rFonts w:ascii="方正仿宋_GBK" w:hAnsi="方正仿宋_GBK" w:eastAsia="方正仿宋_GBK" w:cs="Times New Roman"/>
        </w:rPr>
        <w:t>设有最高竞选限价的，</w:t>
      </w:r>
      <w:r>
        <w:rPr>
          <w:rFonts w:hint="eastAsia" w:ascii="方正仿宋_GBK" w:hAnsi="方正仿宋_GBK" w:eastAsia="方正仿宋_GBK" w:cs="Times New Roman"/>
        </w:rPr>
        <w:t>竞选人</w:t>
      </w:r>
      <w:r>
        <w:rPr>
          <w:rFonts w:ascii="方正仿宋_GBK" w:hAnsi="方正仿宋_GBK" w:eastAsia="方正仿宋_GBK" w:cs="Times New Roman"/>
        </w:rPr>
        <w:t>的竞选报价不得超过最高竞选限价，最高竞选限价在</w:t>
      </w:r>
      <w:r>
        <w:rPr>
          <w:rFonts w:hint="eastAsia" w:ascii="方正仿宋_GBK" w:hAnsi="方正仿宋_GBK" w:eastAsia="方正仿宋_GBK" w:cs="Times New Roman"/>
        </w:rPr>
        <w:t>竞选人</w:t>
      </w:r>
      <w:r>
        <w:rPr>
          <w:rFonts w:ascii="方正仿宋_GBK" w:hAnsi="方正仿宋_GBK" w:eastAsia="方正仿宋_GBK" w:cs="Times New Roman"/>
        </w:rPr>
        <w:t>须知前附表中载明。</w:t>
      </w:r>
    </w:p>
    <w:p w14:paraId="4932BBB0">
      <w:pPr>
        <w:ind w:left="105" w:right="105" w:firstLine="420" w:firstLineChars="200"/>
        <w:contextualSpacing/>
        <w:outlineLvl w:val="3"/>
        <w:rPr>
          <w:rFonts w:ascii="方正仿宋_GBK" w:hAnsi="方正仿宋_GBK" w:eastAsia="方正仿宋_GBK" w:cs="Times New Roman"/>
        </w:rPr>
      </w:pPr>
      <w:r>
        <w:rPr>
          <w:rFonts w:ascii="方正仿宋_GBK" w:hAnsi="方正仿宋_GBK" w:eastAsia="方正仿宋_GBK" w:cs="Times New Roman"/>
        </w:rPr>
        <w:t>3.2.5  竞选报价的其他要求见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0CE0285F">
      <w:pPr>
        <w:pStyle w:val="4"/>
        <w:spacing w:before="0" w:after="0" w:line="240" w:lineRule="auto"/>
        <w:ind w:left="105" w:right="105"/>
        <w:contextualSpacing/>
        <w:rPr>
          <w:rFonts w:ascii="方正仿宋_GBK" w:hAnsi="方正仿宋_GBK" w:eastAsia="方正仿宋_GBK" w:cs="Times New Roman"/>
        </w:rPr>
      </w:pPr>
      <w:bookmarkStart w:id="110" w:name="_Toc173920575"/>
      <w:bookmarkStart w:id="111" w:name="_Toc172188070"/>
      <w:r>
        <w:rPr>
          <w:rFonts w:hint="eastAsia" w:ascii="方正仿宋_GBK" w:hAnsi="方正仿宋_GBK" w:eastAsia="方正仿宋_GBK" w:cs="Times New Roman"/>
        </w:rPr>
        <w:t>3.3 竞选有效期</w:t>
      </w:r>
      <w:bookmarkEnd w:id="110"/>
      <w:bookmarkEnd w:id="111"/>
    </w:p>
    <w:p w14:paraId="01640EA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3.3.1  除</w:t>
      </w:r>
      <w:r>
        <w:rPr>
          <w:rFonts w:hint="eastAsia" w:ascii="方正仿宋_GBK" w:hAnsi="方正仿宋_GBK" w:eastAsia="方正仿宋_GBK" w:cs="Times New Roman"/>
        </w:rPr>
        <w:t>竞选人</w:t>
      </w:r>
      <w:r>
        <w:rPr>
          <w:rFonts w:ascii="方正仿宋_GBK" w:hAnsi="方正仿宋_GBK" w:eastAsia="方正仿宋_GBK" w:cs="Times New Roman"/>
        </w:rPr>
        <w:t>须知前附表另有规定外，竞选有效期为90天。</w:t>
      </w:r>
    </w:p>
    <w:p w14:paraId="10AF088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3.3.2  在竞选有效期内，</w:t>
      </w:r>
      <w:r>
        <w:rPr>
          <w:rFonts w:hint="eastAsia" w:ascii="方正仿宋_GBK" w:hAnsi="方正仿宋_GBK" w:eastAsia="方正仿宋_GBK" w:cs="Times New Roman"/>
        </w:rPr>
        <w:t>竞选人</w:t>
      </w:r>
      <w:r>
        <w:rPr>
          <w:rFonts w:ascii="方正仿宋_GBK" w:hAnsi="方正仿宋_GBK" w:eastAsia="方正仿宋_GBK" w:cs="Times New Roman"/>
        </w:rPr>
        <w:t>撤销</w:t>
      </w:r>
      <w:r>
        <w:rPr>
          <w:rFonts w:hint="eastAsia" w:ascii="方正仿宋_GBK" w:hAnsi="方正仿宋_GBK" w:eastAsia="方正仿宋_GBK" w:cs="Times New Roman"/>
        </w:rPr>
        <w:t>竞选文件</w:t>
      </w:r>
      <w:r>
        <w:rPr>
          <w:rFonts w:ascii="方正仿宋_GBK" w:hAnsi="方正仿宋_GBK" w:eastAsia="方正仿宋_GBK" w:cs="Times New Roman"/>
        </w:rPr>
        <w:t>的，应承担</w:t>
      </w:r>
      <w:r>
        <w:rPr>
          <w:rFonts w:hint="eastAsia" w:ascii="方正仿宋_GBK" w:hAnsi="方正仿宋_GBK" w:eastAsia="方正仿宋_GBK" w:cs="Times New Roman"/>
        </w:rPr>
        <w:t>比选文件</w:t>
      </w:r>
      <w:r>
        <w:rPr>
          <w:rFonts w:ascii="方正仿宋_GBK" w:hAnsi="方正仿宋_GBK" w:eastAsia="方正仿宋_GBK" w:cs="Times New Roman"/>
        </w:rPr>
        <w:t>和法律规定的责任</w:t>
      </w:r>
      <w:r>
        <w:rPr>
          <w:rFonts w:hint="eastAsia" w:ascii="方正仿宋_GBK" w:hAnsi="方正仿宋_GBK" w:eastAsia="方正仿宋_GBK" w:cs="Times New Roman"/>
        </w:rPr>
        <w:t>。</w:t>
      </w:r>
    </w:p>
    <w:p w14:paraId="7903EC5B">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3.3.3  出现特殊情况需要延长竞选有效期的</w:t>
      </w:r>
      <w:r>
        <w:rPr>
          <w:rFonts w:hint="eastAsia" w:ascii="方正仿宋_GBK" w:hAnsi="方正仿宋_GBK" w:eastAsia="方正仿宋_GBK" w:cs="Times New Roman"/>
        </w:rPr>
        <w:t>，比选人</w:t>
      </w:r>
      <w:r>
        <w:rPr>
          <w:rFonts w:ascii="方正仿宋_GBK" w:hAnsi="方正仿宋_GBK" w:eastAsia="方正仿宋_GBK" w:cs="Times New Roman"/>
        </w:rPr>
        <w:t>以书面形式通知所有</w:t>
      </w:r>
      <w:r>
        <w:rPr>
          <w:rFonts w:hint="eastAsia" w:ascii="方正仿宋_GBK" w:hAnsi="方正仿宋_GBK" w:eastAsia="方正仿宋_GBK" w:cs="Times New Roman"/>
        </w:rPr>
        <w:t>竞选人</w:t>
      </w:r>
      <w:r>
        <w:rPr>
          <w:rFonts w:ascii="方正仿宋_GBK" w:hAnsi="方正仿宋_GBK" w:eastAsia="方正仿宋_GBK" w:cs="Times New Roman"/>
        </w:rPr>
        <w:t>延长竞选有效期。</w:t>
      </w:r>
      <w:r>
        <w:rPr>
          <w:rFonts w:hint="eastAsia" w:ascii="方正仿宋_GBK" w:hAnsi="方正仿宋_GBK" w:eastAsia="方正仿宋_GBK" w:cs="Times New Roman"/>
        </w:rPr>
        <w:t>竞选人</w:t>
      </w:r>
      <w:r>
        <w:rPr>
          <w:rFonts w:ascii="方正仿宋_GBK" w:hAnsi="方正仿宋_GBK" w:eastAsia="方正仿宋_GBK" w:cs="Times New Roman"/>
        </w:rPr>
        <w:t>应予以书面答复，同意延长的，应相应延长其</w:t>
      </w:r>
      <w:r>
        <w:rPr>
          <w:rFonts w:hint="eastAsia" w:ascii="方正仿宋_GBK" w:hAnsi="方正仿宋_GBK" w:eastAsia="方正仿宋_GBK" w:cs="Times New Roman"/>
        </w:rPr>
        <w:t>竞选保证金</w:t>
      </w:r>
      <w:r>
        <w:rPr>
          <w:rFonts w:ascii="方正仿宋_GBK" w:hAnsi="方正仿宋_GBK" w:eastAsia="方正仿宋_GBK" w:cs="Times New Roman"/>
        </w:rPr>
        <w:t>的有效期，但不得要求或被允许修改其</w:t>
      </w:r>
      <w:r>
        <w:rPr>
          <w:rFonts w:hint="eastAsia" w:ascii="方正仿宋_GBK" w:hAnsi="方正仿宋_GBK" w:eastAsia="方正仿宋_GBK" w:cs="Times New Roman"/>
        </w:rPr>
        <w:t>竞选文件</w:t>
      </w:r>
      <w:r>
        <w:rPr>
          <w:rFonts w:ascii="方正仿宋_GBK" w:hAnsi="方正仿宋_GBK" w:eastAsia="方正仿宋_GBK" w:cs="Times New Roman"/>
        </w:rPr>
        <w:t>；</w:t>
      </w:r>
      <w:r>
        <w:rPr>
          <w:rFonts w:hint="eastAsia" w:ascii="方正仿宋_GBK" w:hAnsi="方正仿宋_GBK" w:eastAsia="方正仿宋_GBK" w:cs="Times New Roman"/>
        </w:rPr>
        <w:t>竞选人</w:t>
      </w:r>
      <w:r>
        <w:rPr>
          <w:rFonts w:ascii="方正仿宋_GBK" w:hAnsi="方正仿宋_GBK" w:eastAsia="方正仿宋_GBK" w:cs="Times New Roman"/>
        </w:rPr>
        <w:t>拒绝延长的，其竞选失效，但</w:t>
      </w:r>
      <w:r>
        <w:rPr>
          <w:rFonts w:hint="eastAsia" w:ascii="方正仿宋_GBK" w:hAnsi="方正仿宋_GBK" w:eastAsia="方正仿宋_GBK" w:cs="Times New Roman"/>
        </w:rPr>
        <w:t>竞选人</w:t>
      </w:r>
      <w:r>
        <w:rPr>
          <w:rFonts w:ascii="方正仿宋_GBK" w:hAnsi="方正仿宋_GBK" w:eastAsia="方正仿宋_GBK" w:cs="Times New Roman"/>
        </w:rPr>
        <w:t>有权收回其</w:t>
      </w:r>
      <w:r>
        <w:rPr>
          <w:rFonts w:hint="eastAsia" w:ascii="方正仿宋_GBK" w:hAnsi="方正仿宋_GBK" w:eastAsia="方正仿宋_GBK" w:cs="Times New Roman"/>
        </w:rPr>
        <w:t>竞选保证金</w:t>
      </w:r>
      <w:r>
        <w:rPr>
          <w:rFonts w:ascii="方正仿宋_GBK" w:hAnsi="方正仿宋_GBK" w:eastAsia="方正仿宋_GBK" w:cs="Times New Roman"/>
        </w:rPr>
        <w:t>及以现金或者支票形式递交的</w:t>
      </w:r>
      <w:r>
        <w:rPr>
          <w:rFonts w:hint="eastAsia" w:ascii="方正仿宋_GBK" w:hAnsi="方正仿宋_GBK" w:eastAsia="方正仿宋_GBK" w:cs="Times New Roman"/>
        </w:rPr>
        <w:t>竞选保证金</w:t>
      </w:r>
      <w:r>
        <w:rPr>
          <w:rFonts w:ascii="方正仿宋_GBK" w:hAnsi="方正仿宋_GBK" w:eastAsia="方正仿宋_GBK" w:cs="Times New Roman"/>
        </w:rPr>
        <w:t>的银行同期存款利息。</w:t>
      </w:r>
    </w:p>
    <w:p w14:paraId="5065ED50">
      <w:pPr>
        <w:pStyle w:val="4"/>
        <w:spacing w:before="0" w:after="0" w:line="240" w:lineRule="auto"/>
        <w:ind w:left="105" w:right="105"/>
        <w:contextualSpacing/>
        <w:rPr>
          <w:rFonts w:ascii="方正仿宋_GBK" w:hAnsi="方正仿宋_GBK" w:eastAsia="方正仿宋_GBK" w:cs="Times New Roman"/>
        </w:rPr>
      </w:pPr>
      <w:bookmarkStart w:id="112" w:name="_Toc173920576"/>
      <w:bookmarkStart w:id="113" w:name="_Toc172188071"/>
      <w:r>
        <w:rPr>
          <w:rFonts w:hint="eastAsia" w:ascii="方正仿宋_GBK" w:hAnsi="方正仿宋_GBK" w:eastAsia="方正仿宋_GBK" w:cs="Times New Roman"/>
        </w:rPr>
        <w:t>3.4 竞选保证金</w:t>
      </w:r>
      <w:bookmarkEnd w:id="112"/>
      <w:bookmarkEnd w:id="113"/>
    </w:p>
    <w:p w14:paraId="023E0B0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3.4.1  </w:t>
      </w:r>
      <w:r>
        <w:rPr>
          <w:rFonts w:hint="eastAsia" w:ascii="方正仿宋_GBK" w:hAnsi="方正仿宋_GBK" w:eastAsia="方正仿宋_GBK" w:cs="Times New Roman"/>
        </w:rPr>
        <w:t>竞选人</w:t>
      </w:r>
      <w:r>
        <w:rPr>
          <w:rFonts w:ascii="方正仿宋_GBK" w:hAnsi="方正仿宋_GBK" w:eastAsia="方正仿宋_GBK" w:cs="Times New Roman"/>
        </w:rPr>
        <w:t>在递交</w:t>
      </w:r>
      <w:r>
        <w:rPr>
          <w:rFonts w:hint="eastAsia" w:ascii="方正仿宋_GBK" w:hAnsi="方正仿宋_GBK" w:eastAsia="方正仿宋_GBK" w:cs="Times New Roman"/>
        </w:rPr>
        <w:t>竞选文件</w:t>
      </w:r>
      <w:r>
        <w:rPr>
          <w:rFonts w:ascii="方正仿宋_GBK" w:hAnsi="方正仿宋_GBK" w:eastAsia="方正仿宋_GBK" w:cs="Times New Roman"/>
        </w:rPr>
        <w:t>的同时，应按</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须知前附表规定的金额、形式和第</w:t>
      </w:r>
      <w:r>
        <w:rPr>
          <w:rFonts w:hint="eastAsia" w:ascii="方正仿宋_GBK" w:hAnsi="方正仿宋_GBK" w:eastAsia="方正仿宋_GBK" w:cs="Times New Roman"/>
        </w:rPr>
        <w:t>五</w:t>
      </w:r>
      <w:r>
        <w:rPr>
          <w:rFonts w:ascii="方正仿宋_GBK" w:hAnsi="方正仿宋_GBK" w:eastAsia="方正仿宋_GBK" w:cs="Times New Roman"/>
        </w:rPr>
        <w:t>章“</w:t>
      </w:r>
      <w:r>
        <w:rPr>
          <w:rFonts w:hint="eastAsia" w:ascii="方正仿宋_GBK" w:hAnsi="方正仿宋_GBK" w:eastAsia="方正仿宋_GBK" w:cs="Times New Roman"/>
        </w:rPr>
        <w:t>竞选文件</w:t>
      </w:r>
      <w:r>
        <w:rPr>
          <w:rFonts w:ascii="方正仿宋_GBK" w:hAnsi="方正仿宋_GBK" w:eastAsia="方正仿宋_GBK" w:cs="Times New Roman"/>
        </w:rPr>
        <w:t>格式”规定的</w:t>
      </w:r>
      <w:r>
        <w:rPr>
          <w:rFonts w:hint="eastAsia" w:ascii="方正仿宋_GBK" w:hAnsi="方正仿宋_GBK" w:eastAsia="方正仿宋_GBK" w:cs="Times New Roman"/>
        </w:rPr>
        <w:t>竞选保证金</w:t>
      </w:r>
      <w:r>
        <w:rPr>
          <w:rFonts w:ascii="方正仿宋_GBK" w:hAnsi="方正仿宋_GBK" w:eastAsia="方正仿宋_GBK" w:cs="Times New Roman"/>
        </w:rPr>
        <w:t>格式递交</w:t>
      </w:r>
      <w:r>
        <w:rPr>
          <w:rFonts w:hint="eastAsia" w:ascii="方正仿宋_GBK" w:hAnsi="方正仿宋_GBK" w:eastAsia="方正仿宋_GBK" w:cs="Times New Roman"/>
        </w:rPr>
        <w:t>竞选保证金</w:t>
      </w:r>
      <w:r>
        <w:rPr>
          <w:rFonts w:ascii="方正仿宋_GBK" w:hAnsi="方正仿宋_GBK" w:eastAsia="方正仿宋_GBK" w:cs="Times New Roman"/>
        </w:rPr>
        <w:t>，并作为其</w:t>
      </w:r>
      <w:r>
        <w:rPr>
          <w:rFonts w:hint="eastAsia" w:ascii="方正仿宋_GBK" w:hAnsi="方正仿宋_GBK" w:eastAsia="方正仿宋_GBK" w:cs="Times New Roman"/>
        </w:rPr>
        <w:t>竞选文件</w:t>
      </w:r>
      <w:r>
        <w:rPr>
          <w:rFonts w:ascii="方正仿宋_GBK" w:hAnsi="方正仿宋_GBK" w:eastAsia="方正仿宋_GBK" w:cs="Times New Roman"/>
        </w:rPr>
        <w:t>的组成部分。境内</w:t>
      </w:r>
      <w:r>
        <w:rPr>
          <w:rFonts w:hint="eastAsia" w:ascii="方正仿宋_GBK" w:hAnsi="方正仿宋_GBK" w:eastAsia="方正仿宋_GBK" w:cs="Times New Roman"/>
        </w:rPr>
        <w:t>竞选人</w:t>
      </w:r>
      <w:r>
        <w:rPr>
          <w:rFonts w:ascii="方正仿宋_GBK" w:hAnsi="方正仿宋_GBK" w:eastAsia="方正仿宋_GBK" w:cs="Times New Roman"/>
        </w:rPr>
        <w:t>以现金或者支票形式提交的</w:t>
      </w:r>
      <w:r>
        <w:rPr>
          <w:rFonts w:hint="eastAsia" w:ascii="方正仿宋_GBK" w:hAnsi="方正仿宋_GBK" w:eastAsia="方正仿宋_GBK" w:cs="Times New Roman"/>
        </w:rPr>
        <w:t>竞选保证金</w:t>
      </w:r>
      <w:r>
        <w:rPr>
          <w:rFonts w:ascii="方正仿宋_GBK" w:hAnsi="方正仿宋_GBK" w:eastAsia="方正仿宋_GBK" w:cs="Times New Roman"/>
        </w:rPr>
        <w:t>，应当从其基本账户转出并在</w:t>
      </w:r>
      <w:r>
        <w:rPr>
          <w:rFonts w:hint="eastAsia" w:ascii="方正仿宋_GBK" w:hAnsi="方正仿宋_GBK" w:eastAsia="方正仿宋_GBK" w:cs="Times New Roman"/>
        </w:rPr>
        <w:t>竞选文件</w:t>
      </w:r>
      <w:r>
        <w:rPr>
          <w:rFonts w:ascii="方正仿宋_GBK" w:hAnsi="方正仿宋_GBK" w:eastAsia="方正仿宋_GBK" w:cs="Times New Roman"/>
        </w:rPr>
        <w:t>中附上基本账户开户证明。联合体竞选的，其</w:t>
      </w:r>
      <w:r>
        <w:rPr>
          <w:rFonts w:hint="eastAsia" w:ascii="方正仿宋_GBK" w:hAnsi="方正仿宋_GBK" w:eastAsia="方正仿宋_GBK" w:cs="Times New Roman"/>
        </w:rPr>
        <w:t>竞选保证金</w:t>
      </w:r>
      <w:r>
        <w:rPr>
          <w:rFonts w:ascii="方正仿宋_GBK" w:hAnsi="方正仿宋_GBK" w:eastAsia="方正仿宋_GBK" w:cs="Times New Roman"/>
        </w:rPr>
        <w:t>可以由牵头人递交，并应符合</w:t>
      </w:r>
      <w:r>
        <w:rPr>
          <w:rFonts w:hint="eastAsia" w:ascii="方正仿宋_GBK" w:hAnsi="方正仿宋_GBK" w:eastAsia="方正仿宋_GBK" w:cs="Times New Roman"/>
        </w:rPr>
        <w:t>竞选人</w:t>
      </w:r>
      <w:r>
        <w:rPr>
          <w:rFonts w:ascii="方正仿宋_GBK" w:hAnsi="方正仿宋_GBK" w:eastAsia="方正仿宋_GBK" w:cs="Times New Roman"/>
        </w:rPr>
        <w:t>须知前附表的规定。</w:t>
      </w:r>
    </w:p>
    <w:p w14:paraId="7263DEC5">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3.4.2  </w:t>
      </w:r>
      <w:r>
        <w:rPr>
          <w:rFonts w:hint="eastAsia" w:ascii="方正仿宋_GBK" w:hAnsi="方正仿宋_GBK" w:eastAsia="方正仿宋_GBK" w:cs="Times New Roman"/>
        </w:rPr>
        <w:t>竞选人</w:t>
      </w:r>
      <w:r>
        <w:rPr>
          <w:rFonts w:ascii="方正仿宋_GBK" w:hAnsi="方正仿宋_GBK" w:eastAsia="方正仿宋_GBK" w:cs="Times New Roman"/>
        </w:rPr>
        <w:t>不按本章第3.4.1项要求提交</w:t>
      </w:r>
      <w:r>
        <w:rPr>
          <w:rFonts w:hint="eastAsia" w:ascii="方正仿宋_GBK" w:hAnsi="方正仿宋_GBK" w:eastAsia="方正仿宋_GBK" w:cs="Times New Roman"/>
        </w:rPr>
        <w:t>竞选保证金</w:t>
      </w:r>
      <w:r>
        <w:rPr>
          <w:rFonts w:ascii="方正仿宋_GBK" w:hAnsi="方正仿宋_GBK" w:eastAsia="方正仿宋_GBK" w:cs="Times New Roman"/>
        </w:rPr>
        <w:t>的，</w:t>
      </w:r>
      <w:r>
        <w:rPr>
          <w:rFonts w:hint="eastAsia" w:ascii="方正仿宋_GBK" w:hAnsi="方正仿宋_GBK" w:eastAsia="方正仿宋_GBK" w:cs="Times New Roman"/>
        </w:rPr>
        <w:t>评审小组</w:t>
      </w:r>
      <w:r>
        <w:rPr>
          <w:rFonts w:ascii="方正仿宋_GBK" w:hAnsi="方正仿宋_GBK" w:eastAsia="方正仿宋_GBK" w:cs="Times New Roman"/>
        </w:rPr>
        <w:t>将否决其竞选</w:t>
      </w:r>
      <w:r>
        <w:rPr>
          <w:rFonts w:hint="eastAsia" w:ascii="方正仿宋_GBK" w:hAnsi="方正仿宋_GBK" w:eastAsia="方正仿宋_GBK" w:cs="Times New Roman"/>
        </w:rPr>
        <w:t>。</w:t>
      </w:r>
    </w:p>
    <w:p w14:paraId="262BE20B">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3.4.3  </w:t>
      </w:r>
      <w:r>
        <w:rPr>
          <w:rFonts w:hint="eastAsia" w:ascii="方正仿宋_GBK" w:hAnsi="方正仿宋_GBK" w:eastAsia="方正仿宋_GBK" w:cs="Times New Roman"/>
        </w:rPr>
        <w:t>比选人</w:t>
      </w:r>
      <w:r>
        <w:rPr>
          <w:rFonts w:ascii="方正仿宋_GBK" w:hAnsi="方正仿宋_GBK" w:eastAsia="方正仿宋_GBK" w:cs="Times New Roman"/>
        </w:rPr>
        <w:t>最迟将在与</w:t>
      </w:r>
      <w:r>
        <w:rPr>
          <w:rFonts w:hint="eastAsia" w:ascii="方正仿宋_GBK" w:hAnsi="方正仿宋_GBK" w:eastAsia="方正仿宋_GBK" w:cs="Times New Roman"/>
        </w:rPr>
        <w:t>成交竞选人</w:t>
      </w:r>
      <w:r>
        <w:rPr>
          <w:rFonts w:ascii="方正仿宋_GBK" w:hAnsi="方正仿宋_GBK" w:eastAsia="方正仿宋_GBK" w:cs="Times New Roman"/>
        </w:rPr>
        <w:t>签订合同后 5 日内，向未中</w:t>
      </w:r>
      <w:r>
        <w:rPr>
          <w:rFonts w:hint="eastAsia" w:ascii="方正仿宋_GBK" w:hAnsi="方正仿宋_GBK" w:eastAsia="方正仿宋_GBK" w:cs="Times New Roman"/>
        </w:rPr>
        <w:t>选</w:t>
      </w:r>
      <w:r>
        <w:rPr>
          <w:rFonts w:ascii="方正仿宋_GBK" w:hAnsi="方正仿宋_GBK" w:eastAsia="方正仿宋_GBK" w:cs="Times New Roman"/>
        </w:rPr>
        <w:t>的</w:t>
      </w:r>
      <w:r>
        <w:rPr>
          <w:rFonts w:hint="eastAsia" w:ascii="方正仿宋_GBK" w:hAnsi="方正仿宋_GBK" w:eastAsia="方正仿宋_GBK" w:cs="Times New Roman"/>
        </w:rPr>
        <w:t>竞选人</w:t>
      </w:r>
      <w:r>
        <w:rPr>
          <w:rFonts w:ascii="方正仿宋_GBK" w:hAnsi="方正仿宋_GBK" w:eastAsia="方正仿宋_GBK" w:cs="Times New Roman"/>
        </w:rPr>
        <w:t>和</w:t>
      </w:r>
      <w:r>
        <w:rPr>
          <w:rFonts w:hint="eastAsia" w:ascii="方正仿宋_GBK" w:hAnsi="方正仿宋_GBK" w:eastAsia="方正仿宋_GBK" w:cs="Times New Roman"/>
        </w:rPr>
        <w:t>成交竞选人</w:t>
      </w:r>
      <w:r>
        <w:rPr>
          <w:rFonts w:ascii="方正仿宋_GBK" w:hAnsi="方正仿宋_GBK" w:eastAsia="方正仿宋_GBK" w:cs="Times New Roman"/>
        </w:rPr>
        <w:t>退还</w:t>
      </w:r>
      <w:r>
        <w:rPr>
          <w:rFonts w:hint="eastAsia" w:ascii="方正仿宋_GBK" w:hAnsi="方正仿宋_GBK" w:eastAsia="方正仿宋_GBK" w:cs="Times New Roman"/>
        </w:rPr>
        <w:t>竞选保证金</w:t>
      </w:r>
      <w:r>
        <w:rPr>
          <w:rFonts w:ascii="方正仿宋_GBK" w:hAnsi="方正仿宋_GBK" w:eastAsia="方正仿宋_GBK" w:cs="Times New Roman"/>
        </w:rPr>
        <w:t>。</w:t>
      </w:r>
      <w:r>
        <w:rPr>
          <w:rFonts w:hint="eastAsia" w:ascii="方正仿宋_GBK" w:hAnsi="方正仿宋_GBK" w:eastAsia="方正仿宋_GBK" w:cs="Times New Roman"/>
        </w:rPr>
        <w:t>竞选保证金</w:t>
      </w:r>
      <w:r>
        <w:rPr>
          <w:rFonts w:ascii="方正仿宋_GBK" w:hAnsi="方正仿宋_GBK" w:eastAsia="方正仿宋_GBK" w:cs="Times New Roman"/>
        </w:rPr>
        <w:t>以现金或者支票形式递交的，还应退还银行同期存款利息。</w:t>
      </w:r>
    </w:p>
    <w:p w14:paraId="0DB4D2D3">
      <w:pPr>
        <w:ind w:left="105" w:right="105" w:firstLine="420" w:firstLineChars="200"/>
        <w:contextualSpacing/>
        <w:outlineLvl w:val="3"/>
        <w:rPr>
          <w:rFonts w:ascii="方正仿宋_GBK" w:hAnsi="方正仿宋_GBK" w:eastAsia="方正仿宋_GBK" w:cs="Times New Roman"/>
        </w:rPr>
      </w:pPr>
      <w:r>
        <w:rPr>
          <w:rFonts w:ascii="方正仿宋_GBK" w:hAnsi="方正仿宋_GBK" w:eastAsia="方正仿宋_GBK" w:cs="Times New Roman"/>
        </w:rPr>
        <w:t>3.4.4  有下列情形之一的，</w:t>
      </w:r>
      <w:r>
        <w:rPr>
          <w:rFonts w:hint="eastAsia" w:ascii="方正仿宋_GBK" w:hAnsi="方正仿宋_GBK" w:eastAsia="方正仿宋_GBK" w:cs="Times New Roman"/>
        </w:rPr>
        <w:t>竞选保证金</w:t>
      </w:r>
      <w:r>
        <w:rPr>
          <w:rFonts w:ascii="方正仿宋_GBK" w:hAnsi="方正仿宋_GBK" w:eastAsia="方正仿宋_GBK" w:cs="Times New Roman"/>
        </w:rPr>
        <w:t>将不予退还：</w:t>
      </w:r>
    </w:p>
    <w:p w14:paraId="029E7EEC">
      <w:pPr>
        <w:ind w:left="105" w:right="105" w:firstLine="420" w:firstLineChars="200"/>
        <w:contextualSpacing/>
        <w:outlineLvl w:val="4"/>
        <w:rPr>
          <w:rFonts w:ascii="方正仿宋_GBK" w:hAnsi="方正仿宋_GBK" w:eastAsia="方正仿宋_GBK" w:cs="Times New Roman"/>
        </w:rPr>
      </w:pPr>
      <w:r>
        <w:rPr>
          <w:rFonts w:ascii="方正仿宋_GBK" w:hAnsi="方正仿宋_GBK" w:eastAsia="方正仿宋_GBK" w:cs="Times New Roman"/>
        </w:rPr>
        <w:t>（1）</w:t>
      </w:r>
      <w:r>
        <w:rPr>
          <w:rFonts w:hint="eastAsia" w:ascii="方正仿宋_GBK" w:hAnsi="方正仿宋_GBK" w:eastAsia="方正仿宋_GBK" w:cs="Times New Roman"/>
        </w:rPr>
        <w:t>竞选人</w:t>
      </w:r>
      <w:r>
        <w:rPr>
          <w:rFonts w:ascii="方正仿宋_GBK" w:hAnsi="方正仿宋_GBK" w:eastAsia="方正仿宋_GBK" w:cs="Times New Roman"/>
        </w:rPr>
        <w:t>在竞选有效期内撤销</w:t>
      </w:r>
      <w:r>
        <w:rPr>
          <w:rFonts w:hint="eastAsia" w:ascii="方正仿宋_GBK" w:hAnsi="方正仿宋_GBK" w:eastAsia="方正仿宋_GBK" w:cs="Times New Roman"/>
        </w:rPr>
        <w:t>竞选文件</w:t>
      </w:r>
      <w:r>
        <w:rPr>
          <w:rFonts w:ascii="方正仿宋_GBK" w:hAnsi="方正仿宋_GBK" w:eastAsia="方正仿宋_GBK" w:cs="Times New Roman"/>
        </w:rPr>
        <w:t>；</w:t>
      </w:r>
    </w:p>
    <w:p w14:paraId="28632993">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w:t>
      </w:r>
      <w:r>
        <w:rPr>
          <w:rFonts w:hint="eastAsia" w:ascii="方正仿宋_GBK" w:hAnsi="方正仿宋_GBK" w:eastAsia="方正仿宋_GBK" w:cs="Times New Roman"/>
        </w:rPr>
        <w:t>成交竞选人</w:t>
      </w:r>
      <w:r>
        <w:rPr>
          <w:rFonts w:ascii="方正仿宋_GBK" w:hAnsi="方正仿宋_GBK" w:eastAsia="方正仿宋_GBK" w:cs="Times New Roman"/>
        </w:rPr>
        <w:t>在收到</w:t>
      </w:r>
      <w:r>
        <w:rPr>
          <w:rFonts w:hint="eastAsia" w:ascii="方正仿宋_GBK" w:hAnsi="方正仿宋_GBK" w:eastAsia="方正仿宋_GBK" w:cs="Times New Roman"/>
        </w:rPr>
        <w:t>成交通知书</w:t>
      </w:r>
      <w:r>
        <w:rPr>
          <w:rFonts w:ascii="方正仿宋_GBK" w:hAnsi="方正仿宋_GBK" w:eastAsia="方正仿宋_GBK" w:cs="Times New Roman"/>
        </w:rPr>
        <w:t>后，无正当理由不与</w:t>
      </w:r>
      <w:r>
        <w:rPr>
          <w:rFonts w:hint="eastAsia" w:ascii="方正仿宋_GBK" w:hAnsi="方正仿宋_GBK" w:eastAsia="方正仿宋_GBK" w:cs="Times New Roman"/>
        </w:rPr>
        <w:t>比选人</w:t>
      </w:r>
      <w:r>
        <w:rPr>
          <w:rFonts w:ascii="方正仿宋_GBK" w:hAnsi="方正仿宋_GBK" w:eastAsia="方正仿宋_GBK" w:cs="Times New Roman"/>
        </w:rPr>
        <w:t>订立合同，在签订合同时向</w:t>
      </w:r>
      <w:r>
        <w:rPr>
          <w:rFonts w:hint="eastAsia" w:ascii="方正仿宋_GBK" w:hAnsi="方正仿宋_GBK" w:eastAsia="方正仿宋_GBK" w:cs="Times New Roman"/>
        </w:rPr>
        <w:t>比选人</w:t>
      </w:r>
      <w:r>
        <w:rPr>
          <w:rFonts w:ascii="方正仿宋_GBK" w:hAnsi="方正仿宋_GBK" w:eastAsia="方正仿宋_GBK" w:cs="Times New Roman"/>
        </w:rPr>
        <w:t>提出附加条件，或者不按照</w:t>
      </w:r>
      <w:r>
        <w:rPr>
          <w:rFonts w:hint="eastAsia" w:ascii="方正仿宋_GBK" w:hAnsi="方正仿宋_GBK" w:eastAsia="方正仿宋_GBK" w:cs="Times New Roman"/>
        </w:rPr>
        <w:t>比选文件</w:t>
      </w:r>
      <w:r>
        <w:rPr>
          <w:rFonts w:ascii="方正仿宋_GBK" w:hAnsi="方正仿宋_GBK" w:eastAsia="方正仿宋_GBK" w:cs="Times New Roman"/>
        </w:rPr>
        <w:t>要求提交履约保证金；</w:t>
      </w:r>
    </w:p>
    <w:p w14:paraId="7BBF60B1">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（3）发生</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须知前附表规定的其他可以不予退还</w:t>
      </w:r>
      <w:r>
        <w:rPr>
          <w:rFonts w:hint="eastAsia" w:ascii="方正仿宋_GBK" w:hAnsi="方正仿宋_GBK" w:eastAsia="方正仿宋_GBK" w:cs="Times New Roman"/>
        </w:rPr>
        <w:t>竞选保证金</w:t>
      </w:r>
      <w:r>
        <w:rPr>
          <w:rFonts w:ascii="方正仿宋_GBK" w:hAnsi="方正仿宋_GBK" w:eastAsia="方正仿宋_GBK" w:cs="Times New Roman"/>
        </w:rPr>
        <w:t>的情形。</w:t>
      </w:r>
    </w:p>
    <w:p w14:paraId="58C7B7E8">
      <w:pPr>
        <w:pStyle w:val="4"/>
        <w:spacing w:before="0" w:after="0" w:line="240" w:lineRule="auto"/>
        <w:ind w:left="105" w:right="105"/>
        <w:contextualSpacing/>
        <w:rPr>
          <w:rFonts w:ascii="方正仿宋_GBK" w:hAnsi="方正仿宋_GBK" w:eastAsia="方正仿宋_GBK" w:cs="Times New Roman"/>
        </w:rPr>
      </w:pPr>
      <w:bookmarkStart w:id="114" w:name="_Toc172188072"/>
      <w:bookmarkStart w:id="115" w:name="_Toc173920577"/>
      <w:r>
        <w:rPr>
          <w:rFonts w:hint="eastAsia" w:ascii="方正仿宋_GBK" w:hAnsi="方正仿宋_GBK" w:eastAsia="方正仿宋_GBK" w:cs="Times New Roman"/>
        </w:rPr>
        <w:t>3.5 资格审查资料</w:t>
      </w:r>
      <w:bookmarkEnd w:id="114"/>
      <w:bookmarkEnd w:id="115"/>
    </w:p>
    <w:p w14:paraId="22B7A23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除</w:t>
      </w:r>
      <w:r>
        <w:rPr>
          <w:rFonts w:hint="eastAsia" w:ascii="方正仿宋_GBK" w:hAnsi="方正仿宋_GBK" w:eastAsia="方正仿宋_GBK" w:cs="Times New Roman"/>
        </w:rPr>
        <w:t>竞选人</w:t>
      </w:r>
      <w:r>
        <w:rPr>
          <w:rFonts w:ascii="方正仿宋_GBK" w:hAnsi="方正仿宋_GBK" w:eastAsia="方正仿宋_GBK" w:cs="Times New Roman"/>
        </w:rPr>
        <w:t>须知前附表另有规定外，</w:t>
      </w:r>
      <w:r>
        <w:rPr>
          <w:rFonts w:hint="eastAsia" w:ascii="方正仿宋_GBK" w:hAnsi="方正仿宋_GBK" w:eastAsia="方正仿宋_GBK" w:cs="Times New Roman"/>
        </w:rPr>
        <w:t>竞选人</w:t>
      </w:r>
      <w:r>
        <w:rPr>
          <w:rFonts w:ascii="方正仿宋_GBK" w:hAnsi="方正仿宋_GBK" w:eastAsia="方正仿宋_GBK" w:cs="Times New Roman"/>
        </w:rPr>
        <w:t>应按下列规定提供资格审查资料，以证明其满足本章第 1.4 款规定的资质、财务、业绩、信誉等要求。</w:t>
      </w:r>
    </w:p>
    <w:p w14:paraId="6950B07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3.5.1 “</w:t>
      </w:r>
      <w:r>
        <w:rPr>
          <w:rFonts w:hint="eastAsia" w:ascii="方正仿宋_GBK" w:hAnsi="方正仿宋_GBK" w:eastAsia="方正仿宋_GBK" w:cs="Times New Roman"/>
        </w:rPr>
        <w:t>竞选人</w:t>
      </w:r>
      <w:r>
        <w:rPr>
          <w:rFonts w:ascii="方正仿宋_GBK" w:hAnsi="方正仿宋_GBK" w:eastAsia="方正仿宋_GBK" w:cs="Times New Roman"/>
        </w:rPr>
        <w:t>基本情况表”应附</w:t>
      </w:r>
      <w:r>
        <w:rPr>
          <w:rFonts w:hint="eastAsia" w:ascii="方正仿宋_GBK" w:hAnsi="方正仿宋_GBK" w:eastAsia="方正仿宋_GBK" w:cs="Times New Roman"/>
        </w:rPr>
        <w:t>竞选人</w:t>
      </w:r>
      <w:r>
        <w:rPr>
          <w:rFonts w:ascii="方正仿宋_GBK" w:hAnsi="方正仿宋_GBK" w:eastAsia="方正仿宋_GBK" w:cs="Times New Roman"/>
        </w:rPr>
        <w:t>资格或者资质证书副本和竞选材料检验或认证等材料的复印件以及：</w:t>
      </w:r>
    </w:p>
    <w:p w14:paraId="06F6A09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w:t>
      </w:r>
      <w:r>
        <w:rPr>
          <w:rFonts w:hint="eastAsia" w:ascii="方正仿宋_GBK" w:hAnsi="方正仿宋_GBK" w:eastAsia="方正仿宋_GBK" w:cs="Times New Roman"/>
        </w:rPr>
        <w:t>竞选人</w:t>
      </w:r>
      <w:r>
        <w:rPr>
          <w:rFonts w:ascii="方正仿宋_GBK" w:hAnsi="方正仿宋_GBK" w:eastAsia="方正仿宋_GBK" w:cs="Times New Roman"/>
        </w:rPr>
        <w:t>为企业的</w:t>
      </w:r>
      <w:r>
        <w:rPr>
          <w:rFonts w:hint="eastAsia" w:ascii="方正仿宋_GBK" w:hAnsi="方正仿宋_GBK" w:eastAsia="方正仿宋_GBK" w:cs="Times New Roman"/>
        </w:rPr>
        <w:t>，</w:t>
      </w:r>
      <w:r>
        <w:rPr>
          <w:rFonts w:ascii="方正仿宋_GBK" w:hAnsi="方正仿宋_GBK" w:eastAsia="方正仿宋_GBK" w:cs="Times New Roman"/>
        </w:rPr>
        <w:t>应提交营业执照和组织机构代码证的复印件（按照“三证合</w:t>
      </w:r>
      <w:r>
        <w:rPr>
          <w:rFonts w:hint="eastAsia" w:ascii="方正仿宋_GBK" w:hAnsi="方正仿宋_GBK" w:eastAsia="方正仿宋_GBK" w:cs="Times New Roman"/>
        </w:rPr>
        <w:t>一</w:t>
      </w:r>
      <w:r>
        <w:rPr>
          <w:rFonts w:ascii="方正仿宋_GBK" w:hAnsi="方正仿宋_GBK" w:eastAsia="方正仿宋_GBK" w:cs="Times New Roman"/>
        </w:rPr>
        <w:t>”或“五证合一”登记制度进行登记的，可仅提供营业执照复印件）；</w:t>
      </w:r>
    </w:p>
    <w:p w14:paraId="58A85AE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w:t>
      </w:r>
      <w:r>
        <w:rPr>
          <w:rFonts w:hint="eastAsia" w:ascii="方正仿宋_GBK" w:hAnsi="方正仿宋_GBK" w:eastAsia="方正仿宋_GBK" w:cs="Times New Roman"/>
        </w:rPr>
        <w:t>竞选人</w:t>
      </w:r>
      <w:r>
        <w:rPr>
          <w:rFonts w:ascii="方正仿宋_GBK" w:hAnsi="方正仿宋_GBK" w:eastAsia="方正仿宋_GBK" w:cs="Times New Roman"/>
        </w:rPr>
        <w:t>为依法允许经营的事业单位的</w:t>
      </w:r>
      <w:r>
        <w:rPr>
          <w:rFonts w:hint="eastAsia" w:ascii="方正仿宋_GBK" w:hAnsi="方正仿宋_GBK" w:eastAsia="方正仿宋_GBK" w:cs="Times New Roman"/>
        </w:rPr>
        <w:t>，</w:t>
      </w:r>
      <w:r>
        <w:rPr>
          <w:rFonts w:ascii="方正仿宋_GBK" w:hAnsi="方正仿宋_GBK" w:eastAsia="方正仿宋_GBK" w:cs="Times New Roman"/>
        </w:rPr>
        <w:t>应提交事业单位法人证书和组织机构代码证的复印件。</w:t>
      </w:r>
    </w:p>
    <w:p w14:paraId="1CBE36B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3.5.2 “近年财务状况表”应附经会计师事务所或审计机构审计的财务会计报表，包括资产负债表、现金流量表、利润表和财务情况说明书的复印件，具体年份要求见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r>
        <w:rPr>
          <w:rFonts w:hint="eastAsia" w:ascii="方正仿宋_GBK" w:hAnsi="方正仿宋_GBK" w:eastAsia="方正仿宋_GBK" w:cs="Times New Roman"/>
        </w:rPr>
        <w:t>竞选人</w:t>
      </w:r>
      <w:r>
        <w:rPr>
          <w:rFonts w:ascii="方正仿宋_GBK" w:hAnsi="方正仿宋_GBK" w:eastAsia="方正仿宋_GBK" w:cs="Times New Roman"/>
        </w:rPr>
        <w:t>的成立时间少于</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须知前附表规定年份的，应提供成立以来的财务状况表。</w:t>
      </w:r>
    </w:p>
    <w:p w14:paraId="057FF133">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3.5.3 “近年完成的类似项目情况表”应附</w:t>
      </w:r>
      <w:r>
        <w:rPr>
          <w:rFonts w:hint="eastAsia" w:ascii="方正仿宋_GBK" w:hAnsi="方正仿宋_GBK" w:eastAsia="方正仿宋_GBK" w:cs="Times New Roman"/>
        </w:rPr>
        <w:t>成交通知书</w:t>
      </w:r>
      <w:r>
        <w:rPr>
          <w:rFonts w:ascii="方正仿宋_GBK" w:hAnsi="方正仿宋_GBK" w:eastAsia="方正仿宋_GBK" w:cs="Times New Roman"/>
        </w:rPr>
        <w:t>和（或）合同协议书、进场验收证书等的复印件</w:t>
      </w:r>
      <w:r>
        <w:rPr>
          <w:rFonts w:hint="eastAsia" w:ascii="方正仿宋_GBK" w:hAnsi="方正仿宋_GBK" w:eastAsia="方正仿宋_GBK" w:cs="Times New Roman"/>
        </w:rPr>
        <w:t>，</w:t>
      </w:r>
      <w:r>
        <w:rPr>
          <w:rFonts w:ascii="方正仿宋_GBK" w:hAnsi="方正仿宋_GBK" w:eastAsia="方正仿宋_GBK" w:cs="Times New Roman"/>
        </w:rPr>
        <w:t>具体时间要求见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须知前附表。每张表格只填写一个项目，并标明序号。</w:t>
      </w:r>
    </w:p>
    <w:p w14:paraId="31DC19D2">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3.5.4 “正在</w:t>
      </w:r>
      <w:r>
        <w:rPr>
          <w:rFonts w:hint="eastAsia" w:ascii="方正仿宋_GBK" w:hAnsi="方正仿宋_GBK" w:eastAsia="方正仿宋_GBK" w:cs="Times New Roman"/>
        </w:rPr>
        <w:t>执行</w:t>
      </w:r>
      <w:r>
        <w:rPr>
          <w:rFonts w:ascii="方正仿宋_GBK" w:hAnsi="方正仿宋_GBK" w:eastAsia="方正仿宋_GBK" w:cs="Times New Roman"/>
        </w:rPr>
        <w:t>和新承接的项目情况表”应附</w:t>
      </w:r>
      <w:r>
        <w:rPr>
          <w:rFonts w:hint="eastAsia" w:ascii="方正仿宋_GBK" w:hAnsi="方正仿宋_GBK" w:eastAsia="方正仿宋_GBK" w:cs="Times New Roman"/>
        </w:rPr>
        <w:t>成交通知书</w:t>
      </w:r>
      <w:r>
        <w:rPr>
          <w:rFonts w:ascii="方正仿宋_GBK" w:hAnsi="方正仿宋_GBK" w:eastAsia="方正仿宋_GBK" w:cs="Times New Roman"/>
        </w:rPr>
        <w:t>和（或） 合同协议书复印件。每张表格只填写一个项目，并标明序号。</w:t>
      </w:r>
    </w:p>
    <w:p w14:paraId="3D4FDC41">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3.5.5 “近年发生的诉讼及仲裁情况”应说明</w:t>
      </w:r>
      <w:r>
        <w:rPr>
          <w:rFonts w:hint="eastAsia" w:ascii="方正仿宋_GBK" w:hAnsi="方正仿宋_GBK" w:eastAsia="方正仿宋_GBK" w:cs="Times New Roman"/>
        </w:rPr>
        <w:t>竞选人</w:t>
      </w:r>
      <w:r>
        <w:rPr>
          <w:rFonts w:ascii="方正仿宋_GBK" w:hAnsi="方正仿宋_GBK" w:eastAsia="方正仿宋_GBK" w:cs="Times New Roman"/>
        </w:rPr>
        <w:t>败诉的合同的相关情况</w:t>
      </w:r>
      <w:r>
        <w:rPr>
          <w:rFonts w:hint="eastAsia" w:ascii="方正仿宋_GBK" w:hAnsi="方正仿宋_GBK" w:eastAsia="方正仿宋_GBK" w:cs="Times New Roman"/>
        </w:rPr>
        <w:t>，</w:t>
      </w:r>
      <w:r>
        <w:rPr>
          <w:rFonts w:ascii="方正仿宋_GBK" w:hAnsi="方正仿宋_GBK" w:eastAsia="方正仿宋_GBK" w:cs="Times New Roman"/>
        </w:rPr>
        <w:t>并附法院或仲裁机构作出的判决、裁决等有关法律文书复印件</w:t>
      </w:r>
      <w:r>
        <w:rPr>
          <w:rFonts w:hint="eastAsia" w:ascii="方正仿宋_GBK" w:hAnsi="方正仿宋_GBK" w:eastAsia="方正仿宋_GBK" w:cs="Times New Roman"/>
        </w:rPr>
        <w:t>，</w:t>
      </w:r>
      <w:r>
        <w:rPr>
          <w:rFonts w:ascii="方正仿宋_GBK" w:hAnsi="方正仿宋_GBK" w:eastAsia="方正仿宋_GBK" w:cs="Times New Roman"/>
        </w:rPr>
        <w:t>具体时间要求见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1E5E2D5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3.5.6  </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须知前附表规定接受联合体竞选的</w:t>
      </w:r>
      <w:r>
        <w:rPr>
          <w:rFonts w:hint="eastAsia" w:ascii="方正仿宋_GBK" w:hAnsi="方正仿宋_GBK" w:eastAsia="方正仿宋_GBK" w:cs="Times New Roman"/>
        </w:rPr>
        <w:t>，</w:t>
      </w:r>
      <w:r>
        <w:rPr>
          <w:rFonts w:ascii="方正仿宋_GBK" w:hAnsi="方正仿宋_GBK" w:eastAsia="方正仿宋_GBK" w:cs="Times New Roman"/>
        </w:rPr>
        <w:t>本章第3.5.1项至第3.5.5项规定的表格和资料应包括联合体各方相关情况。</w:t>
      </w:r>
    </w:p>
    <w:p w14:paraId="2D844C38">
      <w:pPr>
        <w:pStyle w:val="4"/>
        <w:spacing w:before="0" w:after="0" w:line="240" w:lineRule="auto"/>
        <w:ind w:left="105" w:right="105"/>
        <w:contextualSpacing/>
        <w:rPr>
          <w:rFonts w:ascii="方正仿宋_GBK" w:hAnsi="方正仿宋_GBK" w:eastAsia="方正仿宋_GBK" w:cs="Times New Roman"/>
        </w:rPr>
      </w:pPr>
      <w:bookmarkStart w:id="116" w:name="_Toc172188073"/>
      <w:bookmarkStart w:id="117" w:name="_Toc173920578"/>
      <w:r>
        <w:rPr>
          <w:rFonts w:hint="eastAsia" w:ascii="方正仿宋_GBK" w:hAnsi="方正仿宋_GBK" w:eastAsia="方正仿宋_GBK" w:cs="Times New Roman"/>
        </w:rPr>
        <w:t>3.6 备选竞选方案</w:t>
      </w:r>
      <w:bookmarkEnd w:id="116"/>
      <w:bookmarkEnd w:id="117"/>
    </w:p>
    <w:p w14:paraId="7EF2BA3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3.6.1  除</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须知前附表规定允许外，</w:t>
      </w:r>
      <w:r>
        <w:rPr>
          <w:rFonts w:hint="eastAsia" w:ascii="方正仿宋_GBK" w:hAnsi="方正仿宋_GBK" w:eastAsia="方正仿宋_GBK" w:cs="Times New Roman"/>
        </w:rPr>
        <w:t>竞选人</w:t>
      </w:r>
      <w:r>
        <w:rPr>
          <w:rFonts w:ascii="方正仿宋_GBK" w:hAnsi="方正仿宋_GBK" w:eastAsia="方正仿宋_GBK" w:cs="Times New Roman"/>
        </w:rPr>
        <w:t>不得递交备选竞选方案，否则其竞选将被否决。</w:t>
      </w:r>
    </w:p>
    <w:p w14:paraId="6407ED66">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3.6.2  允许</w:t>
      </w:r>
      <w:r>
        <w:rPr>
          <w:rFonts w:hint="eastAsia" w:ascii="方正仿宋_GBK" w:hAnsi="方正仿宋_GBK" w:eastAsia="方正仿宋_GBK" w:cs="Times New Roman"/>
        </w:rPr>
        <w:t>竞选人</w:t>
      </w:r>
      <w:r>
        <w:rPr>
          <w:rFonts w:ascii="方正仿宋_GBK" w:hAnsi="方正仿宋_GBK" w:eastAsia="方正仿宋_GBK" w:cs="Times New Roman"/>
        </w:rPr>
        <w:t>递交备选竞选方案的，只有</w:t>
      </w:r>
      <w:r>
        <w:rPr>
          <w:rFonts w:hint="eastAsia" w:ascii="方正仿宋_GBK" w:hAnsi="方正仿宋_GBK" w:eastAsia="方正仿宋_GBK" w:cs="Times New Roman"/>
        </w:rPr>
        <w:t>成交竞选人</w:t>
      </w:r>
      <w:r>
        <w:rPr>
          <w:rFonts w:ascii="方正仿宋_GBK" w:hAnsi="方正仿宋_GBK" w:eastAsia="方正仿宋_GBK" w:cs="Times New Roman"/>
        </w:rPr>
        <w:t>所递交的备选竞选方案方可予以考虑。</w:t>
      </w:r>
      <w:r>
        <w:rPr>
          <w:rFonts w:hint="eastAsia" w:ascii="方正仿宋_GBK" w:hAnsi="方正仿宋_GBK" w:eastAsia="方正仿宋_GBK" w:cs="Times New Roman"/>
        </w:rPr>
        <w:t>评审小组</w:t>
      </w:r>
      <w:r>
        <w:rPr>
          <w:rFonts w:ascii="方正仿宋_GBK" w:hAnsi="方正仿宋_GBK" w:eastAsia="方正仿宋_GBK" w:cs="Times New Roman"/>
        </w:rPr>
        <w:t>认为</w:t>
      </w:r>
      <w:r>
        <w:rPr>
          <w:rFonts w:hint="eastAsia" w:ascii="方正仿宋_GBK" w:hAnsi="方正仿宋_GBK" w:eastAsia="方正仿宋_GBK" w:cs="Times New Roman"/>
        </w:rPr>
        <w:t>成交竞选人</w:t>
      </w:r>
      <w:r>
        <w:rPr>
          <w:rFonts w:ascii="方正仿宋_GBK" w:hAnsi="方正仿宋_GBK" w:eastAsia="方正仿宋_GBK" w:cs="Times New Roman"/>
        </w:rPr>
        <w:t>的备选竞选方案优于其按照</w:t>
      </w:r>
      <w:r>
        <w:rPr>
          <w:rFonts w:hint="eastAsia" w:ascii="方正仿宋_GBK" w:hAnsi="方正仿宋_GBK" w:eastAsia="方正仿宋_GBK" w:cs="Times New Roman"/>
        </w:rPr>
        <w:t>比选文件</w:t>
      </w:r>
      <w:r>
        <w:rPr>
          <w:rFonts w:ascii="方正仿宋_GBK" w:hAnsi="方正仿宋_GBK" w:eastAsia="方正仿宋_GBK" w:cs="Times New Roman"/>
        </w:rPr>
        <w:t>要求编制的竞选方案的，</w:t>
      </w:r>
      <w:r>
        <w:rPr>
          <w:rFonts w:hint="eastAsia" w:ascii="方正仿宋_GBK" w:hAnsi="方正仿宋_GBK" w:eastAsia="方正仿宋_GBK" w:cs="Times New Roman"/>
        </w:rPr>
        <w:t>比选人</w:t>
      </w:r>
      <w:r>
        <w:rPr>
          <w:rFonts w:ascii="方正仿宋_GBK" w:hAnsi="方正仿宋_GBK" w:eastAsia="方正仿宋_GBK" w:cs="Times New Roman"/>
        </w:rPr>
        <w:t>可以接受该备选竞选方案。</w:t>
      </w:r>
    </w:p>
    <w:p w14:paraId="60C852C5">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3.6.3  </w:t>
      </w:r>
      <w:r>
        <w:rPr>
          <w:rFonts w:hint="eastAsia" w:ascii="方正仿宋_GBK" w:hAnsi="方正仿宋_GBK" w:eastAsia="方正仿宋_GBK" w:cs="Times New Roman"/>
        </w:rPr>
        <w:t>竞选人</w:t>
      </w:r>
      <w:r>
        <w:rPr>
          <w:rFonts w:ascii="方正仿宋_GBK" w:hAnsi="方正仿宋_GBK" w:eastAsia="方正仿宋_GBK" w:cs="Times New Roman"/>
        </w:rPr>
        <w:t>提供两个或两个以上竞选报价，或者在</w:t>
      </w:r>
      <w:r>
        <w:rPr>
          <w:rFonts w:hint="eastAsia" w:ascii="方正仿宋_GBK" w:hAnsi="方正仿宋_GBK" w:eastAsia="方正仿宋_GBK" w:cs="Times New Roman"/>
        </w:rPr>
        <w:t>竞选文件</w:t>
      </w:r>
      <w:r>
        <w:rPr>
          <w:rFonts w:ascii="方正仿宋_GBK" w:hAnsi="方正仿宋_GBK" w:eastAsia="方正仿宋_GBK" w:cs="Times New Roman"/>
        </w:rPr>
        <w:t>中提供一个报价，但同时提供两个或两个以上方案的，视为提供备选方案。</w:t>
      </w:r>
    </w:p>
    <w:p w14:paraId="7C03E825">
      <w:pPr>
        <w:pStyle w:val="4"/>
        <w:spacing w:before="0" w:after="0" w:line="240" w:lineRule="auto"/>
        <w:ind w:left="105" w:right="105"/>
        <w:contextualSpacing/>
        <w:rPr>
          <w:rFonts w:ascii="方正仿宋_GBK" w:hAnsi="方正仿宋_GBK" w:eastAsia="方正仿宋_GBK" w:cs="Times New Roman"/>
        </w:rPr>
      </w:pPr>
      <w:bookmarkStart w:id="118" w:name="_Toc172188074"/>
      <w:bookmarkStart w:id="119" w:name="_Toc173920579"/>
      <w:r>
        <w:rPr>
          <w:rFonts w:hint="eastAsia" w:ascii="方正仿宋_GBK" w:hAnsi="方正仿宋_GBK" w:eastAsia="方正仿宋_GBK" w:cs="Times New Roman"/>
        </w:rPr>
        <w:t>3.7 竞选文件的编制</w:t>
      </w:r>
      <w:bookmarkEnd w:id="118"/>
      <w:bookmarkEnd w:id="119"/>
    </w:p>
    <w:p w14:paraId="65123AF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3.7.1  </w:t>
      </w:r>
      <w:r>
        <w:rPr>
          <w:rFonts w:hint="eastAsia" w:ascii="方正仿宋_GBK" w:hAnsi="方正仿宋_GBK" w:eastAsia="方正仿宋_GBK" w:cs="Times New Roman"/>
        </w:rPr>
        <w:t>竞选文件</w:t>
      </w:r>
      <w:r>
        <w:rPr>
          <w:rFonts w:ascii="方正仿宋_GBK" w:hAnsi="方正仿宋_GBK" w:eastAsia="方正仿宋_GBK" w:cs="Times New Roman"/>
        </w:rPr>
        <w:t>应按第</w:t>
      </w:r>
      <w:r>
        <w:rPr>
          <w:rFonts w:hint="eastAsia" w:ascii="方正仿宋_GBK" w:hAnsi="方正仿宋_GBK" w:eastAsia="方正仿宋_GBK" w:cs="Times New Roman"/>
        </w:rPr>
        <w:t>五</w:t>
      </w:r>
      <w:r>
        <w:rPr>
          <w:rFonts w:ascii="方正仿宋_GBK" w:hAnsi="方正仿宋_GBK" w:eastAsia="方正仿宋_GBK" w:cs="Times New Roman"/>
        </w:rPr>
        <w:t>章“</w:t>
      </w:r>
      <w:r>
        <w:rPr>
          <w:rFonts w:hint="eastAsia" w:ascii="方正仿宋_GBK" w:hAnsi="方正仿宋_GBK" w:eastAsia="方正仿宋_GBK" w:cs="Times New Roman"/>
        </w:rPr>
        <w:t>竞选文件</w:t>
      </w:r>
      <w:r>
        <w:rPr>
          <w:rFonts w:ascii="方正仿宋_GBK" w:hAnsi="方正仿宋_GBK" w:eastAsia="方正仿宋_GBK" w:cs="Times New Roman"/>
        </w:rPr>
        <w:t>格式”进行编写，如有必要，可以增加附页</w:t>
      </w:r>
      <w:r>
        <w:rPr>
          <w:rFonts w:hint="eastAsia" w:ascii="方正仿宋_GBK" w:hAnsi="方正仿宋_GBK" w:eastAsia="方正仿宋_GBK" w:cs="Times New Roman"/>
        </w:rPr>
        <w:t>，</w:t>
      </w:r>
      <w:r>
        <w:rPr>
          <w:rFonts w:ascii="方正仿宋_GBK" w:hAnsi="方正仿宋_GBK" w:eastAsia="方正仿宋_GBK" w:cs="Times New Roman"/>
        </w:rPr>
        <w:t>作为</w:t>
      </w:r>
      <w:r>
        <w:rPr>
          <w:rFonts w:hint="eastAsia" w:ascii="方正仿宋_GBK" w:hAnsi="方正仿宋_GBK" w:eastAsia="方正仿宋_GBK" w:cs="Times New Roman"/>
        </w:rPr>
        <w:t>竞选文件</w:t>
      </w:r>
      <w:r>
        <w:rPr>
          <w:rFonts w:ascii="方正仿宋_GBK" w:hAnsi="方正仿宋_GBK" w:eastAsia="方正仿宋_GBK" w:cs="Times New Roman"/>
        </w:rPr>
        <w:t>的组成部分。</w:t>
      </w:r>
    </w:p>
    <w:p w14:paraId="7BD41B49">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3.7.2  </w:t>
      </w:r>
      <w:r>
        <w:rPr>
          <w:rFonts w:hint="eastAsia" w:ascii="方正仿宋_GBK" w:hAnsi="方正仿宋_GBK" w:eastAsia="方正仿宋_GBK" w:cs="Times New Roman"/>
        </w:rPr>
        <w:t>竞选文件</w:t>
      </w:r>
      <w:r>
        <w:rPr>
          <w:rFonts w:ascii="方正仿宋_GBK" w:hAnsi="方正仿宋_GBK" w:eastAsia="方正仿宋_GBK" w:cs="Times New Roman"/>
        </w:rPr>
        <w:t>应当对</w:t>
      </w:r>
      <w:r>
        <w:rPr>
          <w:rFonts w:hint="eastAsia" w:ascii="方正仿宋_GBK" w:hAnsi="方正仿宋_GBK" w:eastAsia="方正仿宋_GBK" w:cs="Times New Roman"/>
        </w:rPr>
        <w:t>比选文件</w:t>
      </w:r>
      <w:r>
        <w:rPr>
          <w:rFonts w:ascii="方正仿宋_GBK" w:hAnsi="方正仿宋_GBK" w:eastAsia="方正仿宋_GBK" w:cs="Times New Roman"/>
        </w:rPr>
        <w:t>有关</w:t>
      </w:r>
      <w:r>
        <w:rPr>
          <w:rFonts w:hint="eastAsia" w:ascii="方正仿宋_GBK" w:hAnsi="方正仿宋_GBK" w:eastAsia="方正仿宋_GBK" w:cs="Times New Roman"/>
        </w:rPr>
        <w:t>周</w:t>
      </w:r>
      <w:r>
        <w:rPr>
          <w:rFonts w:ascii="方正仿宋_GBK" w:hAnsi="方正仿宋_GBK" w:eastAsia="方正仿宋_GBK" w:cs="Times New Roman"/>
        </w:rPr>
        <w:t>期、竞选有效期、要求、比选范围等实质性内容作出竞选。</w:t>
      </w:r>
      <w:r>
        <w:rPr>
          <w:rFonts w:hint="eastAsia" w:ascii="方正仿宋_GBK" w:hAnsi="方正仿宋_GBK" w:eastAsia="方正仿宋_GBK" w:cs="Times New Roman"/>
        </w:rPr>
        <w:t>竞选文件</w:t>
      </w:r>
      <w:r>
        <w:rPr>
          <w:rFonts w:ascii="方正仿宋_GBK" w:hAnsi="方正仿宋_GBK" w:eastAsia="方正仿宋_GBK" w:cs="Times New Roman"/>
        </w:rPr>
        <w:t>在满足</w:t>
      </w:r>
      <w:r>
        <w:rPr>
          <w:rFonts w:hint="eastAsia" w:ascii="方正仿宋_GBK" w:hAnsi="方正仿宋_GBK" w:eastAsia="方正仿宋_GBK" w:cs="Times New Roman"/>
        </w:rPr>
        <w:t>比选文件</w:t>
      </w:r>
      <w:r>
        <w:rPr>
          <w:rFonts w:ascii="方正仿宋_GBK" w:hAnsi="方正仿宋_GBK" w:eastAsia="方正仿宋_GBK" w:cs="Times New Roman"/>
        </w:rPr>
        <w:t>实质性要求的基础上，可以提出比</w:t>
      </w:r>
      <w:r>
        <w:rPr>
          <w:rFonts w:hint="eastAsia" w:ascii="方正仿宋_GBK" w:hAnsi="方正仿宋_GBK" w:eastAsia="方正仿宋_GBK" w:cs="Times New Roman"/>
        </w:rPr>
        <w:t>比选文件</w:t>
      </w:r>
      <w:r>
        <w:rPr>
          <w:rFonts w:ascii="方正仿宋_GBK" w:hAnsi="方正仿宋_GBK" w:eastAsia="方正仿宋_GBK" w:cs="Times New Roman"/>
        </w:rPr>
        <w:t>要求更有利于</w:t>
      </w:r>
      <w:r>
        <w:rPr>
          <w:rFonts w:hint="eastAsia" w:ascii="方正仿宋_GBK" w:hAnsi="方正仿宋_GBK" w:eastAsia="方正仿宋_GBK" w:cs="Times New Roman"/>
        </w:rPr>
        <w:t>比选人</w:t>
      </w:r>
      <w:r>
        <w:rPr>
          <w:rFonts w:ascii="方正仿宋_GBK" w:hAnsi="方正仿宋_GBK" w:eastAsia="方正仿宋_GBK" w:cs="Times New Roman"/>
        </w:rPr>
        <w:t>的承诺。</w:t>
      </w:r>
    </w:p>
    <w:p w14:paraId="627918C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3.7.3 </w:t>
      </w:r>
      <w:r>
        <w:rPr>
          <w:rFonts w:hint="eastAsia" w:ascii="方正仿宋_GBK" w:hAnsi="方正仿宋_GBK" w:eastAsia="方正仿宋_GBK" w:cs="Times New Roman"/>
        </w:rPr>
        <w:t>竞选文件的签名盖章要求：按本章竞选人须知前附表第3.7.3项执行。</w:t>
      </w:r>
    </w:p>
    <w:p w14:paraId="495E37B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3.7.4 </w:t>
      </w:r>
      <w:r>
        <w:rPr>
          <w:rFonts w:hint="eastAsia" w:ascii="方正仿宋_GBK" w:hAnsi="方正仿宋_GBK" w:eastAsia="方正仿宋_GBK" w:cs="Times New Roman"/>
        </w:rPr>
        <w:t>竞选文件份数：按本章竞选人须知前附表第3.7.4项执行。</w:t>
      </w:r>
    </w:p>
    <w:p w14:paraId="24578446">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3.7.5 </w:t>
      </w:r>
      <w:r>
        <w:rPr>
          <w:rFonts w:hint="eastAsia" w:ascii="方正仿宋_GBK" w:hAnsi="方正仿宋_GBK" w:eastAsia="方正仿宋_GBK" w:cs="Times New Roman"/>
        </w:rPr>
        <w:t>竞选文件应按规定格式排版</w:t>
      </w:r>
      <w:r>
        <w:rPr>
          <w:rFonts w:ascii="方正仿宋_GBK" w:hAnsi="方正仿宋_GBK" w:eastAsia="方正仿宋_GBK" w:cs="Times New Roman"/>
        </w:rPr>
        <w:t>，并编制目录，具体</w:t>
      </w:r>
      <w:r>
        <w:rPr>
          <w:rFonts w:hint="eastAsia" w:ascii="方正仿宋_GBK" w:hAnsi="方正仿宋_GBK" w:eastAsia="方正仿宋_GBK" w:cs="Times New Roman"/>
        </w:rPr>
        <w:t>编制</w:t>
      </w:r>
      <w:r>
        <w:rPr>
          <w:rFonts w:ascii="方正仿宋_GBK" w:hAnsi="方正仿宋_GBK" w:eastAsia="方正仿宋_GBK" w:cs="Times New Roman"/>
        </w:rPr>
        <w:t>要求见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w:t>
      </w:r>
    </w:p>
    <w:p w14:paraId="149411E4">
      <w:pPr>
        <w:pStyle w:val="3"/>
        <w:spacing w:before="0" w:after="0" w:line="240" w:lineRule="auto"/>
        <w:ind w:left="105" w:right="105"/>
        <w:contextualSpacing/>
        <w:rPr>
          <w:rFonts w:hint="eastAsia" w:ascii="方正黑体_GBK" w:hAnsi="方正黑体_GBK" w:eastAsia="方正黑体_GBK" w:cs="Times New Roman"/>
          <w:lang w:val="en-US" w:eastAsia="zh-CN"/>
        </w:rPr>
      </w:pPr>
      <w:r>
        <w:rPr>
          <w:rFonts w:hint="eastAsia" w:ascii="方正黑体_GBK" w:hAnsi="方正黑体_GBK" w:eastAsia="方正黑体_GBK" w:cs="Times New Roman"/>
          <w:lang w:val="en-US" w:eastAsia="zh-CN"/>
        </w:rPr>
        <w:t>4.竞选</w:t>
      </w:r>
    </w:p>
    <w:p w14:paraId="3CCEF261">
      <w:pPr>
        <w:pStyle w:val="4"/>
        <w:spacing w:before="0" w:after="0" w:line="240" w:lineRule="auto"/>
        <w:ind w:left="105" w:right="105"/>
        <w:contextualSpacing/>
        <w:rPr>
          <w:rFonts w:ascii="方正仿宋_GBK" w:hAnsi="方正仿宋_GBK" w:eastAsia="方正仿宋_GBK" w:cs="Times New Roman"/>
        </w:rPr>
      </w:pPr>
      <w:bookmarkStart w:id="120" w:name="_Toc173920581"/>
      <w:bookmarkStart w:id="121" w:name="_Toc172188076"/>
      <w:r>
        <w:rPr>
          <w:rFonts w:hint="eastAsia" w:ascii="方正仿宋_GBK" w:hAnsi="方正仿宋_GBK" w:eastAsia="方正仿宋_GBK" w:cs="Times New Roman"/>
        </w:rPr>
        <w:t>4.1 竞选文件的密封和标记</w:t>
      </w:r>
      <w:bookmarkEnd w:id="120"/>
      <w:bookmarkEnd w:id="121"/>
    </w:p>
    <w:p w14:paraId="4AA1A279">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4.1.1 </w:t>
      </w:r>
      <w:r>
        <w:rPr>
          <w:rFonts w:hint="eastAsia" w:ascii="方正仿宋_GBK" w:hAnsi="方正仿宋_GBK" w:eastAsia="方正仿宋_GBK" w:cs="Times New Roman"/>
        </w:rPr>
        <w:t xml:space="preserve"> 竞选文件</w:t>
      </w:r>
      <w:r>
        <w:rPr>
          <w:rFonts w:ascii="方正仿宋_GBK" w:hAnsi="方正仿宋_GBK" w:eastAsia="方正仿宋_GBK" w:cs="Times New Roman"/>
        </w:rPr>
        <w:t>的密封</w:t>
      </w:r>
      <w:r>
        <w:rPr>
          <w:rFonts w:hint="eastAsia" w:ascii="方正仿宋_GBK" w:hAnsi="方正仿宋_GBK" w:eastAsia="方正仿宋_GBK" w:cs="Times New Roman"/>
        </w:rPr>
        <w:t>：</w:t>
      </w:r>
      <w:r>
        <w:rPr>
          <w:rFonts w:ascii="方正仿宋_GBK" w:hAnsi="方正仿宋_GBK" w:eastAsia="方正仿宋_GBK" w:cs="Times New Roman"/>
        </w:rPr>
        <w:t>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5F309EF2">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4.1.2  </w:t>
      </w:r>
      <w:r>
        <w:rPr>
          <w:rFonts w:hint="eastAsia" w:ascii="方正仿宋_GBK" w:hAnsi="方正仿宋_GBK" w:eastAsia="方正仿宋_GBK" w:cs="Times New Roman"/>
        </w:rPr>
        <w:t>竞选文件</w:t>
      </w:r>
      <w:r>
        <w:rPr>
          <w:rFonts w:ascii="方正仿宋_GBK" w:hAnsi="方正仿宋_GBK" w:eastAsia="方正仿宋_GBK" w:cs="Times New Roman"/>
        </w:rPr>
        <w:t>封套上应写明的内容见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5E3B05C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4.1.3  未按本章第 4.1.1 项要求密封的</w:t>
      </w:r>
      <w:r>
        <w:rPr>
          <w:rFonts w:hint="eastAsia" w:ascii="方正仿宋_GBK" w:hAnsi="方正仿宋_GBK" w:eastAsia="方正仿宋_GBK" w:cs="Times New Roman"/>
        </w:rPr>
        <w:t>竞选文件</w:t>
      </w:r>
      <w:r>
        <w:rPr>
          <w:rFonts w:ascii="方正仿宋_GBK" w:hAnsi="方正仿宋_GBK" w:eastAsia="方正仿宋_GBK" w:cs="Times New Roman"/>
        </w:rPr>
        <w:t>，</w:t>
      </w:r>
      <w:r>
        <w:rPr>
          <w:rFonts w:hint="eastAsia" w:ascii="方正仿宋_GBK" w:hAnsi="方正仿宋_GBK" w:eastAsia="方正仿宋_GBK" w:cs="Times New Roman"/>
        </w:rPr>
        <w:t>比选人</w:t>
      </w:r>
      <w:r>
        <w:rPr>
          <w:rFonts w:ascii="方正仿宋_GBK" w:hAnsi="方正仿宋_GBK" w:eastAsia="方正仿宋_GBK" w:cs="Times New Roman"/>
        </w:rPr>
        <w:t>将予以拒收。</w:t>
      </w:r>
    </w:p>
    <w:p w14:paraId="41A195C8">
      <w:pPr>
        <w:pStyle w:val="4"/>
        <w:spacing w:before="0" w:after="0" w:line="240" w:lineRule="auto"/>
        <w:ind w:left="105" w:right="105"/>
        <w:contextualSpacing/>
        <w:rPr>
          <w:rFonts w:ascii="方正仿宋_GBK" w:hAnsi="方正仿宋_GBK" w:eastAsia="方正仿宋_GBK" w:cs="Times New Roman"/>
        </w:rPr>
      </w:pPr>
      <w:bookmarkStart w:id="122" w:name="_Toc173920582"/>
      <w:bookmarkStart w:id="123" w:name="_Toc172188077"/>
      <w:r>
        <w:rPr>
          <w:rFonts w:hint="eastAsia" w:ascii="方正仿宋_GBK" w:hAnsi="方正仿宋_GBK" w:eastAsia="方正仿宋_GBK" w:cs="Times New Roman"/>
        </w:rPr>
        <w:t>4.2 竞选文件的递交</w:t>
      </w:r>
      <w:bookmarkEnd w:id="122"/>
      <w:bookmarkEnd w:id="123"/>
    </w:p>
    <w:p w14:paraId="27B3F578">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4.2.1  </w:t>
      </w:r>
      <w:r>
        <w:rPr>
          <w:rFonts w:hint="eastAsia" w:ascii="方正仿宋_GBK" w:hAnsi="方正仿宋_GBK" w:eastAsia="方正仿宋_GBK" w:cs="Times New Roman"/>
        </w:rPr>
        <w:t>竞选人</w:t>
      </w:r>
      <w:r>
        <w:rPr>
          <w:rFonts w:ascii="方正仿宋_GBK" w:hAnsi="方正仿宋_GBK" w:eastAsia="方正仿宋_GBK" w:cs="Times New Roman"/>
        </w:rPr>
        <w:t>应在</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w:t>
      </w:r>
      <w:r>
        <w:rPr>
          <w:rFonts w:hint="eastAsia" w:ascii="方正仿宋_GBK" w:hAnsi="方正仿宋_GBK" w:eastAsia="方正仿宋_GBK" w:cs="Times New Roman"/>
        </w:rPr>
        <w:t>竞选文件递交截止时间</w:t>
      </w:r>
      <w:r>
        <w:rPr>
          <w:rFonts w:ascii="方正仿宋_GBK" w:hAnsi="方正仿宋_GBK" w:eastAsia="方正仿宋_GBK" w:cs="Times New Roman"/>
        </w:rPr>
        <w:t>前递交</w:t>
      </w:r>
      <w:r>
        <w:rPr>
          <w:rFonts w:hint="eastAsia" w:ascii="方正仿宋_GBK" w:hAnsi="方正仿宋_GBK" w:eastAsia="方正仿宋_GBK" w:cs="Times New Roman"/>
        </w:rPr>
        <w:t>竞选文件</w:t>
      </w:r>
      <w:r>
        <w:rPr>
          <w:rFonts w:ascii="方正仿宋_GBK" w:hAnsi="方正仿宋_GBK" w:eastAsia="方正仿宋_GBK" w:cs="Times New Roman"/>
        </w:rPr>
        <w:t>。</w:t>
      </w:r>
    </w:p>
    <w:p w14:paraId="18FC9907">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4.2.2 </w:t>
      </w:r>
      <w:r>
        <w:rPr>
          <w:rFonts w:hint="eastAsia" w:ascii="方正仿宋_GBK" w:hAnsi="方正仿宋_GBK" w:eastAsia="方正仿宋_GBK" w:cs="Times New Roman"/>
        </w:rPr>
        <w:t xml:space="preserve"> 竞选人应竞选人须知前附表规定的竞选文件递交地点递交竞选文件</w:t>
      </w:r>
      <w:r>
        <w:rPr>
          <w:rFonts w:ascii="方正仿宋_GBK" w:hAnsi="方正仿宋_GBK" w:eastAsia="方正仿宋_GBK" w:cs="Times New Roman"/>
        </w:rPr>
        <w:t>。</w:t>
      </w:r>
    </w:p>
    <w:p w14:paraId="56977E34">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4.2.3  除</w:t>
      </w:r>
      <w:r>
        <w:rPr>
          <w:rFonts w:hint="eastAsia" w:ascii="方正仿宋_GBK" w:hAnsi="方正仿宋_GBK" w:eastAsia="方正仿宋_GBK" w:cs="Times New Roman"/>
        </w:rPr>
        <w:t>竞选人</w:t>
      </w:r>
      <w:r>
        <w:rPr>
          <w:rFonts w:ascii="方正仿宋_GBK" w:hAnsi="方正仿宋_GBK" w:eastAsia="方正仿宋_GBK" w:cs="Times New Roman"/>
        </w:rPr>
        <w:t>须知前附表另有规定外，</w:t>
      </w:r>
      <w:r>
        <w:rPr>
          <w:rFonts w:hint="eastAsia" w:ascii="方正仿宋_GBK" w:hAnsi="方正仿宋_GBK" w:eastAsia="方正仿宋_GBK" w:cs="Times New Roman"/>
        </w:rPr>
        <w:t>竞选人</w:t>
      </w:r>
      <w:r>
        <w:rPr>
          <w:rFonts w:ascii="方正仿宋_GBK" w:hAnsi="方正仿宋_GBK" w:eastAsia="方正仿宋_GBK" w:cs="Times New Roman"/>
        </w:rPr>
        <w:t>所递交的</w:t>
      </w:r>
      <w:r>
        <w:rPr>
          <w:rFonts w:hint="eastAsia" w:ascii="方正仿宋_GBK" w:hAnsi="方正仿宋_GBK" w:eastAsia="方正仿宋_GBK" w:cs="Times New Roman"/>
        </w:rPr>
        <w:t>竞选文件</w:t>
      </w:r>
      <w:r>
        <w:rPr>
          <w:rFonts w:ascii="方正仿宋_GBK" w:hAnsi="方正仿宋_GBK" w:eastAsia="方正仿宋_GBK" w:cs="Times New Roman"/>
        </w:rPr>
        <w:t>不予退还。</w:t>
      </w:r>
    </w:p>
    <w:p w14:paraId="4F17376B">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4.2.4 </w:t>
      </w:r>
      <w:r>
        <w:rPr>
          <w:rFonts w:hint="eastAsia" w:ascii="方正仿宋_GBK" w:hAnsi="方正仿宋_GBK" w:eastAsia="方正仿宋_GBK" w:cs="Times New Roman"/>
        </w:rPr>
        <w:t xml:space="preserve"> 竞选人完成竞选文件的递交后，签署竞选文件签收表</w:t>
      </w:r>
      <w:r>
        <w:rPr>
          <w:rFonts w:ascii="方正仿宋_GBK" w:hAnsi="方正仿宋_GBK" w:eastAsia="方正仿宋_GBK" w:cs="Times New Roman"/>
        </w:rPr>
        <w:t>。</w:t>
      </w:r>
    </w:p>
    <w:p w14:paraId="28A82591">
      <w:pPr>
        <w:ind w:left="105" w:right="105" w:firstLine="420" w:firstLineChars="200"/>
        <w:contextualSpacing/>
        <w:outlineLvl w:val="3"/>
        <w:rPr>
          <w:rFonts w:ascii="方正仿宋_GBK" w:hAnsi="方正仿宋_GBK" w:eastAsia="方正仿宋_GBK" w:cs="Times New Roman"/>
        </w:rPr>
      </w:pPr>
      <w:r>
        <w:rPr>
          <w:rFonts w:ascii="方正仿宋_GBK" w:hAnsi="方正仿宋_GBK" w:eastAsia="方正仿宋_GBK" w:cs="Times New Roman"/>
        </w:rPr>
        <w:t xml:space="preserve">4.2.5 </w:t>
      </w:r>
      <w:r>
        <w:rPr>
          <w:rFonts w:hint="eastAsia" w:ascii="方正仿宋_GBK" w:hAnsi="方正仿宋_GBK" w:eastAsia="方正仿宋_GBK" w:cs="Times New Roman"/>
        </w:rPr>
        <w:t xml:space="preserve"> </w:t>
      </w:r>
      <w:r>
        <w:rPr>
          <w:rFonts w:ascii="方正仿宋_GBK" w:hAnsi="方正仿宋_GBK" w:eastAsia="方正仿宋_GBK" w:cs="Times New Roman"/>
        </w:rPr>
        <w:t>逾期送达的</w:t>
      </w:r>
      <w:r>
        <w:rPr>
          <w:rFonts w:hint="eastAsia" w:ascii="方正仿宋_GBK" w:hAnsi="方正仿宋_GBK" w:eastAsia="方正仿宋_GBK" w:cs="Times New Roman"/>
        </w:rPr>
        <w:t>竞选文件</w:t>
      </w:r>
      <w:r>
        <w:rPr>
          <w:rFonts w:ascii="方正仿宋_GBK" w:hAnsi="方正仿宋_GBK" w:eastAsia="方正仿宋_GBK" w:cs="Times New Roman"/>
        </w:rPr>
        <w:t>，</w:t>
      </w:r>
      <w:r>
        <w:rPr>
          <w:rFonts w:hint="eastAsia" w:ascii="方正仿宋_GBK" w:hAnsi="方正仿宋_GBK" w:eastAsia="方正仿宋_GBK" w:cs="Times New Roman"/>
        </w:rPr>
        <w:t>比选人</w:t>
      </w:r>
      <w:r>
        <w:rPr>
          <w:rFonts w:ascii="方正仿宋_GBK" w:hAnsi="方正仿宋_GBK" w:eastAsia="方正仿宋_GBK" w:cs="Times New Roman"/>
        </w:rPr>
        <w:t>将予以拒收。</w:t>
      </w:r>
    </w:p>
    <w:p w14:paraId="455C8705">
      <w:pPr>
        <w:pStyle w:val="4"/>
        <w:spacing w:before="0" w:after="0" w:line="240" w:lineRule="auto"/>
        <w:ind w:left="105" w:right="105"/>
        <w:contextualSpacing/>
        <w:rPr>
          <w:rFonts w:ascii="方正仿宋_GBK" w:hAnsi="方正仿宋_GBK" w:eastAsia="方正仿宋_GBK" w:cs="Times New Roman"/>
        </w:rPr>
      </w:pPr>
      <w:bookmarkStart w:id="124" w:name="_Toc172188078"/>
      <w:bookmarkStart w:id="125" w:name="_Toc173920583"/>
      <w:r>
        <w:rPr>
          <w:rFonts w:hint="eastAsia" w:ascii="方正仿宋_GBK" w:hAnsi="方正仿宋_GBK" w:eastAsia="方正仿宋_GBK" w:cs="Times New Roman"/>
        </w:rPr>
        <w:t>4.3 竞选文件的修改与撤回</w:t>
      </w:r>
      <w:bookmarkEnd w:id="124"/>
      <w:bookmarkEnd w:id="125"/>
    </w:p>
    <w:p w14:paraId="00A4F76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4.3.1  在本章第 4.2.1 项规定的</w:t>
      </w:r>
      <w:r>
        <w:rPr>
          <w:rFonts w:hint="eastAsia" w:ascii="方正仿宋_GBK" w:hAnsi="方正仿宋_GBK" w:eastAsia="方正仿宋_GBK" w:cs="Times New Roman"/>
        </w:rPr>
        <w:t>竞选文件递交截止时间</w:t>
      </w:r>
      <w:r>
        <w:rPr>
          <w:rFonts w:ascii="方正仿宋_GBK" w:hAnsi="方正仿宋_GBK" w:eastAsia="方正仿宋_GBK" w:cs="Times New Roman"/>
        </w:rPr>
        <w:t>前，</w:t>
      </w:r>
      <w:r>
        <w:rPr>
          <w:rFonts w:hint="eastAsia" w:ascii="方正仿宋_GBK" w:hAnsi="方正仿宋_GBK" w:eastAsia="方正仿宋_GBK" w:cs="Times New Roman"/>
        </w:rPr>
        <w:t>竞选人</w:t>
      </w:r>
      <w:r>
        <w:rPr>
          <w:rFonts w:ascii="方正仿宋_GBK" w:hAnsi="方正仿宋_GBK" w:eastAsia="方正仿宋_GBK" w:cs="Times New Roman"/>
        </w:rPr>
        <w:t>可以修改或撤回已递交的</w:t>
      </w:r>
      <w:r>
        <w:rPr>
          <w:rFonts w:hint="eastAsia" w:ascii="方正仿宋_GBK" w:hAnsi="方正仿宋_GBK" w:eastAsia="方正仿宋_GBK" w:cs="Times New Roman"/>
        </w:rPr>
        <w:t>竞选文件</w:t>
      </w:r>
      <w:r>
        <w:rPr>
          <w:rFonts w:ascii="方正仿宋_GBK" w:hAnsi="方正仿宋_GBK" w:eastAsia="方正仿宋_GBK" w:cs="Times New Roman"/>
        </w:rPr>
        <w:t>，但应以书面形式通知</w:t>
      </w:r>
      <w:r>
        <w:rPr>
          <w:rFonts w:hint="eastAsia" w:ascii="方正仿宋_GBK" w:hAnsi="方正仿宋_GBK" w:eastAsia="方正仿宋_GBK" w:cs="Times New Roman"/>
        </w:rPr>
        <w:t>比选人</w:t>
      </w:r>
      <w:r>
        <w:rPr>
          <w:rFonts w:ascii="方正仿宋_GBK" w:hAnsi="方正仿宋_GBK" w:eastAsia="方正仿宋_GBK" w:cs="Times New Roman"/>
        </w:rPr>
        <w:t>。</w:t>
      </w:r>
    </w:p>
    <w:p w14:paraId="2F874FFB">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4.3.2 </w:t>
      </w:r>
      <w:r>
        <w:rPr>
          <w:rFonts w:hint="eastAsia" w:ascii="方正仿宋_GBK" w:hAnsi="方正仿宋_GBK" w:eastAsia="方正仿宋_GBK" w:cs="Times New Roman"/>
        </w:rPr>
        <w:t xml:space="preserve"> 竞选人</w:t>
      </w:r>
      <w:r>
        <w:rPr>
          <w:rFonts w:ascii="方正仿宋_GBK" w:hAnsi="方正仿宋_GBK" w:eastAsia="方正仿宋_GBK" w:cs="Times New Roman"/>
        </w:rPr>
        <w:t>修改或撤回已递交</w:t>
      </w:r>
      <w:r>
        <w:rPr>
          <w:rFonts w:hint="eastAsia" w:ascii="方正仿宋_GBK" w:hAnsi="方正仿宋_GBK" w:eastAsia="方正仿宋_GBK" w:cs="Times New Roman"/>
        </w:rPr>
        <w:t>竞选文件</w:t>
      </w:r>
      <w:r>
        <w:rPr>
          <w:rFonts w:ascii="方正仿宋_GBK" w:hAnsi="方正仿宋_GBK" w:eastAsia="方正仿宋_GBK" w:cs="Times New Roman"/>
        </w:rPr>
        <w:t>的通知，应按照本章第 3.7.3 项的要求。</w:t>
      </w:r>
    </w:p>
    <w:p w14:paraId="095DE999">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4.3.3  </w:t>
      </w:r>
      <w:r>
        <w:rPr>
          <w:rFonts w:hint="eastAsia" w:ascii="方正仿宋_GBK" w:hAnsi="方正仿宋_GBK" w:eastAsia="方正仿宋_GBK" w:cs="Times New Roman"/>
        </w:rPr>
        <w:t>竞选人</w:t>
      </w:r>
      <w:r>
        <w:rPr>
          <w:rFonts w:ascii="方正仿宋_GBK" w:hAnsi="方正仿宋_GBK" w:eastAsia="方正仿宋_GBK" w:cs="Times New Roman"/>
        </w:rPr>
        <w:t>撤回</w:t>
      </w:r>
      <w:r>
        <w:rPr>
          <w:rFonts w:hint="eastAsia" w:ascii="方正仿宋_GBK" w:hAnsi="方正仿宋_GBK" w:eastAsia="方正仿宋_GBK" w:cs="Times New Roman"/>
        </w:rPr>
        <w:t>竞选文件</w:t>
      </w:r>
      <w:r>
        <w:rPr>
          <w:rFonts w:ascii="方正仿宋_GBK" w:hAnsi="方正仿宋_GBK" w:eastAsia="方正仿宋_GBK" w:cs="Times New Roman"/>
        </w:rPr>
        <w:t>的，</w:t>
      </w:r>
      <w:r>
        <w:rPr>
          <w:rFonts w:hint="eastAsia" w:ascii="方正仿宋_GBK" w:hAnsi="方正仿宋_GBK" w:eastAsia="方正仿宋_GBK" w:cs="Times New Roman"/>
        </w:rPr>
        <w:t>比选人</w:t>
      </w:r>
      <w:r>
        <w:rPr>
          <w:rFonts w:ascii="方正仿宋_GBK" w:hAnsi="方正仿宋_GBK" w:eastAsia="方正仿宋_GBK" w:cs="Times New Roman"/>
        </w:rPr>
        <w:t>自收到</w:t>
      </w:r>
      <w:r>
        <w:rPr>
          <w:rFonts w:hint="eastAsia" w:ascii="方正仿宋_GBK" w:hAnsi="方正仿宋_GBK" w:eastAsia="方正仿宋_GBK" w:cs="Times New Roman"/>
        </w:rPr>
        <w:t>竞选人</w:t>
      </w:r>
      <w:r>
        <w:rPr>
          <w:rFonts w:ascii="方正仿宋_GBK" w:hAnsi="方正仿宋_GBK" w:eastAsia="方正仿宋_GBK" w:cs="Times New Roman"/>
        </w:rPr>
        <w:t>书面撤回通知之日起 5 日内退还已收取的</w:t>
      </w:r>
      <w:r>
        <w:rPr>
          <w:rFonts w:hint="eastAsia" w:ascii="方正仿宋_GBK" w:hAnsi="方正仿宋_GBK" w:eastAsia="方正仿宋_GBK" w:cs="Times New Roman"/>
        </w:rPr>
        <w:t>竞选保证金</w:t>
      </w:r>
      <w:r>
        <w:rPr>
          <w:rFonts w:ascii="方正仿宋_GBK" w:hAnsi="方正仿宋_GBK" w:eastAsia="方正仿宋_GBK" w:cs="Times New Roman"/>
        </w:rPr>
        <w:t>。</w:t>
      </w:r>
    </w:p>
    <w:p w14:paraId="782924F1">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4.3.4  修改的内容为</w:t>
      </w:r>
      <w:r>
        <w:rPr>
          <w:rFonts w:hint="eastAsia" w:ascii="方正仿宋_GBK" w:hAnsi="方正仿宋_GBK" w:eastAsia="方正仿宋_GBK" w:cs="Times New Roman"/>
        </w:rPr>
        <w:t>竞选文件</w:t>
      </w:r>
      <w:r>
        <w:rPr>
          <w:rFonts w:ascii="方正仿宋_GBK" w:hAnsi="方正仿宋_GBK" w:eastAsia="方正仿宋_GBK" w:cs="Times New Roman"/>
        </w:rPr>
        <w:t>的组成部分。修改的</w:t>
      </w:r>
      <w:r>
        <w:rPr>
          <w:rFonts w:hint="eastAsia" w:ascii="方正仿宋_GBK" w:hAnsi="方正仿宋_GBK" w:eastAsia="方正仿宋_GBK" w:cs="Times New Roman"/>
        </w:rPr>
        <w:t>竞选文件</w:t>
      </w:r>
      <w:r>
        <w:rPr>
          <w:rFonts w:ascii="方正仿宋_GBK" w:hAnsi="方正仿宋_GBK" w:eastAsia="方正仿宋_GBK" w:cs="Times New Roman"/>
        </w:rPr>
        <w:t>应按照本章第 3 条、第 4 条的规定进行编制、密封、标记和递交，并标明“修改”字样。</w:t>
      </w:r>
    </w:p>
    <w:p w14:paraId="53F7F070">
      <w:pPr>
        <w:pStyle w:val="3"/>
        <w:spacing w:before="0" w:after="0" w:line="240" w:lineRule="auto"/>
        <w:ind w:left="105" w:right="105"/>
        <w:contextualSpacing/>
        <w:rPr>
          <w:rFonts w:hint="eastAsia" w:ascii="方正黑体_GBK" w:hAnsi="方正黑体_GBK" w:eastAsia="方正黑体_GBK" w:cs="Times New Roman"/>
          <w:lang w:val="en-US" w:eastAsia="zh-CN"/>
        </w:rPr>
      </w:pPr>
      <w:r>
        <w:rPr>
          <w:rFonts w:hint="eastAsia" w:ascii="方正黑体_GBK" w:hAnsi="方正黑体_GBK" w:eastAsia="方正黑体_GBK" w:cs="Times New Roman"/>
          <w:lang w:val="en-US" w:eastAsia="zh-CN"/>
        </w:rPr>
        <w:t>5.比选</w:t>
      </w:r>
    </w:p>
    <w:p w14:paraId="32F1B386">
      <w:pPr>
        <w:pStyle w:val="4"/>
        <w:spacing w:before="0" w:after="0" w:line="240" w:lineRule="auto"/>
        <w:ind w:left="105" w:right="105"/>
        <w:contextualSpacing/>
        <w:rPr>
          <w:rFonts w:ascii="方正仿宋_GBK" w:hAnsi="方正仿宋_GBK" w:eastAsia="方正仿宋_GBK" w:cs="Times New Roman"/>
        </w:rPr>
      </w:pPr>
      <w:bookmarkStart w:id="126" w:name="_Toc173920585"/>
      <w:bookmarkStart w:id="127" w:name="_Toc172188080"/>
      <w:r>
        <w:rPr>
          <w:rFonts w:hint="eastAsia" w:ascii="方正仿宋_GBK" w:hAnsi="方正仿宋_GBK" w:eastAsia="方正仿宋_GBK" w:cs="Times New Roman"/>
        </w:rPr>
        <w:t>5.1 比选时间和地点</w:t>
      </w:r>
      <w:bookmarkEnd w:id="126"/>
      <w:bookmarkEnd w:id="127"/>
    </w:p>
    <w:p w14:paraId="0FC1BE74">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比选人</w:t>
      </w:r>
      <w:r>
        <w:rPr>
          <w:rFonts w:ascii="方正仿宋_GBK" w:hAnsi="方正仿宋_GBK" w:eastAsia="方正仿宋_GBK" w:cs="Times New Roman"/>
        </w:rPr>
        <w:t>在本章第 4.2.1 项规定的</w:t>
      </w:r>
      <w:r>
        <w:rPr>
          <w:rFonts w:hint="eastAsia" w:ascii="方正仿宋_GBK" w:hAnsi="方正仿宋_GBK" w:eastAsia="方正仿宋_GBK" w:cs="Times New Roman"/>
        </w:rPr>
        <w:t>竞选文件递交截止时间</w:t>
      </w:r>
      <w:r>
        <w:rPr>
          <w:rFonts w:ascii="方正仿宋_GBK" w:hAnsi="方正仿宋_GBK" w:eastAsia="方正仿宋_GBK" w:cs="Times New Roman"/>
        </w:rPr>
        <w:t>（比选时间） ,</w:t>
      </w:r>
      <w:r>
        <w:rPr>
          <w:rFonts w:hint="eastAsia" w:ascii="方正仿宋_GBK" w:hAnsi="方正仿宋_GBK" w:eastAsia="方正仿宋_GBK" w:cs="Times New Roman"/>
        </w:rPr>
        <w:t>在竞选人须知前附表中的比选地点比选，</w:t>
      </w:r>
      <w:r>
        <w:rPr>
          <w:rFonts w:ascii="方正仿宋_GBK" w:hAnsi="方正仿宋_GBK" w:eastAsia="方正仿宋_GBK" w:cs="Times New Roman"/>
        </w:rPr>
        <w:t>所有</w:t>
      </w:r>
      <w:r>
        <w:rPr>
          <w:rFonts w:hint="eastAsia" w:ascii="方正仿宋_GBK" w:hAnsi="方正仿宋_GBK" w:eastAsia="方正仿宋_GBK" w:cs="Times New Roman"/>
        </w:rPr>
        <w:t>竞选人</w:t>
      </w:r>
      <w:r>
        <w:rPr>
          <w:rFonts w:ascii="方正仿宋_GBK" w:hAnsi="方正仿宋_GBK" w:eastAsia="方正仿宋_GBK" w:cs="Times New Roman"/>
        </w:rPr>
        <w:t>的法定代表人（单位负责人）或其委托代理人应当准时参加。</w:t>
      </w:r>
    </w:p>
    <w:p w14:paraId="33032E89">
      <w:pPr>
        <w:pStyle w:val="4"/>
        <w:spacing w:before="0" w:after="0" w:line="240" w:lineRule="auto"/>
        <w:ind w:left="105" w:right="105"/>
        <w:contextualSpacing/>
        <w:rPr>
          <w:rFonts w:ascii="方正仿宋_GBK" w:hAnsi="方正仿宋_GBK" w:eastAsia="方正仿宋_GBK" w:cs="Times New Roman"/>
        </w:rPr>
      </w:pPr>
      <w:bookmarkStart w:id="128" w:name="_Toc173920586"/>
      <w:bookmarkStart w:id="129" w:name="_Toc172188081"/>
      <w:r>
        <w:rPr>
          <w:rFonts w:hint="eastAsia" w:ascii="方正仿宋_GBK" w:hAnsi="方正仿宋_GBK" w:eastAsia="方正仿宋_GBK" w:cs="Times New Roman"/>
        </w:rPr>
        <w:t>5.2 比选程序</w:t>
      </w:r>
      <w:bookmarkEnd w:id="128"/>
      <w:bookmarkEnd w:id="129"/>
    </w:p>
    <w:p w14:paraId="7DCE0706">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详见竞选人须知前附表5.2。</w:t>
      </w:r>
    </w:p>
    <w:p w14:paraId="6BF37232">
      <w:pPr>
        <w:pStyle w:val="4"/>
        <w:spacing w:before="0" w:after="0" w:line="240" w:lineRule="auto"/>
        <w:ind w:left="105" w:right="105"/>
        <w:contextualSpacing/>
        <w:rPr>
          <w:rFonts w:ascii="方正仿宋_GBK" w:hAnsi="方正仿宋_GBK" w:eastAsia="方正仿宋_GBK" w:cs="Times New Roman"/>
        </w:rPr>
      </w:pPr>
      <w:bookmarkStart w:id="130" w:name="_Toc172188082"/>
      <w:bookmarkStart w:id="131" w:name="_Toc173920587"/>
      <w:r>
        <w:rPr>
          <w:rFonts w:hint="eastAsia" w:ascii="方正仿宋_GBK" w:hAnsi="方正仿宋_GBK" w:eastAsia="方正仿宋_GBK" w:cs="Times New Roman"/>
        </w:rPr>
        <w:t>5.3 比选异议</w:t>
      </w:r>
      <w:bookmarkEnd w:id="130"/>
      <w:bookmarkEnd w:id="131"/>
    </w:p>
    <w:p w14:paraId="23E75F2C">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竞选人</w:t>
      </w:r>
      <w:r>
        <w:rPr>
          <w:rFonts w:ascii="方正仿宋_GBK" w:hAnsi="方正仿宋_GBK" w:eastAsia="方正仿宋_GBK" w:cs="Times New Roman"/>
        </w:rPr>
        <w:t>对比选有异议的</w:t>
      </w:r>
      <w:r>
        <w:rPr>
          <w:rFonts w:hint="eastAsia" w:ascii="方正仿宋_GBK" w:hAnsi="方正仿宋_GBK" w:eastAsia="方正仿宋_GBK" w:cs="Times New Roman"/>
        </w:rPr>
        <w:t>，</w:t>
      </w:r>
      <w:r>
        <w:rPr>
          <w:rFonts w:ascii="方正仿宋_GBK" w:hAnsi="方正仿宋_GBK" w:eastAsia="方正仿宋_GBK" w:cs="Times New Roman"/>
        </w:rPr>
        <w:t>应当在比选现场提出，</w:t>
      </w:r>
      <w:r>
        <w:rPr>
          <w:rFonts w:hint="eastAsia" w:ascii="方正仿宋_GBK" w:hAnsi="方正仿宋_GBK" w:eastAsia="方正仿宋_GBK" w:cs="Times New Roman"/>
        </w:rPr>
        <w:t>比选人</w:t>
      </w:r>
      <w:r>
        <w:rPr>
          <w:rFonts w:ascii="方正仿宋_GBK" w:hAnsi="方正仿宋_GBK" w:eastAsia="方正仿宋_GBK" w:cs="Times New Roman"/>
        </w:rPr>
        <w:t>当场作出答复，并制作记录。</w:t>
      </w:r>
    </w:p>
    <w:p w14:paraId="2618CD32">
      <w:pPr>
        <w:pStyle w:val="3"/>
        <w:spacing w:before="0" w:after="0" w:line="240" w:lineRule="auto"/>
        <w:ind w:left="105" w:right="105"/>
        <w:contextualSpacing/>
        <w:rPr>
          <w:rFonts w:hint="eastAsia" w:ascii="方正黑体_GBK" w:hAnsi="方正黑体_GBK" w:eastAsia="方正黑体_GBK" w:cs="Times New Roman"/>
          <w:lang w:val="en-US" w:eastAsia="zh-CN"/>
        </w:rPr>
      </w:pPr>
      <w:bookmarkStart w:id="132" w:name="_Toc172188083"/>
      <w:bookmarkStart w:id="133" w:name="_Toc173920588"/>
      <w:r>
        <w:rPr>
          <w:rFonts w:hint="eastAsia" w:ascii="方正黑体_GBK" w:hAnsi="方正黑体_GBK" w:eastAsia="方正黑体_GBK" w:cs="Times New Roman"/>
          <w:lang w:val="en-US" w:eastAsia="zh-CN"/>
        </w:rPr>
        <w:t>6.评审</w:t>
      </w:r>
      <w:bookmarkEnd w:id="132"/>
      <w:bookmarkEnd w:id="133"/>
    </w:p>
    <w:p w14:paraId="0949AF6E">
      <w:pPr>
        <w:pStyle w:val="4"/>
        <w:spacing w:before="0" w:after="0" w:line="240" w:lineRule="auto"/>
        <w:ind w:left="105" w:right="105"/>
        <w:contextualSpacing/>
        <w:rPr>
          <w:rFonts w:ascii="方正仿宋_GBK" w:hAnsi="方正仿宋_GBK" w:eastAsia="方正仿宋_GBK" w:cs="Times New Roman"/>
        </w:rPr>
      </w:pPr>
      <w:bookmarkStart w:id="134" w:name="_Toc173920589"/>
      <w:bookmarkStart w:id="135" w:name="_Toc172188084"/>
      <w:r>
        <w:rPr>
          <w:rFonts w:hint="eastAsia" w:ascii="方正仿宋_GBK" w:hAnsi="方正仿宋_GBK" w:eastAsia="方正仿宋_GBK" w:cs="Times New Roman"/>
        </w:rPr>
        <w:t>6.1 评审小组</w:t>
      </w:r>
      <w:bookmarkEnd w:id="134"/>
      <w:bookmarkEnd w:id="135"/>
    </w:p>
    <w:p w14:paraId="1DFD5925">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6.1.1  </w:t>
      </w:r>
      <w:r>
        <w:rPr>
          <w:rFonts w:hint="eastAsia" w:ascii="方正仿宋_GBK" w:hAnsi="方正仿宋_GBK" w:eastAsia="方正仿宋_GBK" w:cs="Times New Roman"/>
        </w:rPr>
        <w:t>评审</w:t>
      </w:r>
      <w:r>
        <w:rPr>
          <w:rFonts w:ascii="方正仿宋_GBK" w:hAnsi="方正仿宋_GBK" w:eastAsia="方正仿宋_GBK" w:cs="Times New Roman"/>
        </w:rPr>
        <w:t>由</w:t>
      </w:r>
      <w:r>
        <w:rPr>
          <w:rFonts w:hint="eastAsia" w:ascii="方正仿宋_GBK" w:hAnsi="方正仿宋_GBK" w:eastAsia="方正仿宋_GBK" w:cs="Times New Roman"/>
        </w:rPr>
        <w:t>比选人</w:t>
      </w:r>
      <w:r>
        <w:rPr>
          <w:rFonts w:ascii="方正仿宋_GBK" w:hAnsi="方正仿宋_GBK" w:eastAsia="方正仿宋_GBK" w:cs="Times New Roman"/>
        </w:rPr>
        <w:t>依法组建的</w:t>
      </w:r>
      <w:r>
        <w:rPr>
          <w:rFonts w:hint="eastAsia" w:ascii="方正仿宋_GBK" w:hAnsi="方正仿宋_GBK" w:eastAsia="方正仿宋_GBK" w:cs="Times New Roman"/>
        </w:rPr>
        <w:t>评审小组</w:t>
      </w:r>
      <w:r>
        <w:rPr>
          <w:rFonts w:ascii="方正仿宋_GBK" w:hAnsi="方正仿宋_GBK" w:eastAsia="方正仿宋_GBK" w:cs="Times New Roman"/>
        </w:rPr>
        <w:t>负责。</w:t>
      </w:r>
      <w:r>
        <w:rPr>
          <w:rFonts w:hint="eastAsia" w:ascii="方正仿宋_GBK" w:hAnsi="方正仿宋_GBK" w:eastAsia="方正仿宋_GBK" w:cs="Times New Roman"/>
        </w:rPr>
        <w:t>评审小组</w:t>
      </w:r>
      <w:r>
        <w:rPr>
          <w:rFonts w:ascii="方正仿宋_GBK" w:hAnsi="方正仿宋_GBK" w:eastAsia="方正仿宋_GBK" w:cs="Times New Roman"/>
        </w:rPr>
        <w:t>由</w:t>
      </w:r>
      <w:r>
        <w:rPr>
          <w:rFonts w:hint="eastAsia" w:ascii="方正仿宋_GBK" w:hAnsi="方正仿宋_GBK" w:eastAsia="方正仿宋_GBK" w:cs="Times New Roman"/>
        </w:rPr>
        <w:t>比选人</w:t>
      </w:r>
      <w:r>
        <w:rPr>
          <w:rFonts w:ascii="方正仿宋_GBK" w:hAnsi="方正仿宋_GBK" w:eastAsia="方正仿宋_GBK" w:cs="Times New Roman"/>
        </w:rPr>
        <w:t>或其委托的比选代理机构熟悉相关业务的代表，以及有关技术、经济等方面的专家组成。</w:t>
      </w:r>
      <w:r>
        <w:rPr>
          <w:rFonts w:hint="eastAsia" w:ascii="方正仿宋_GBK" w:hAnsi="方正仿宋_GBK" w:eastAsia="方正仿宋_GBK" w:cs="Times New Roman"/>
        </w:rPr>
        <w:t>评审小组</w:t>
      </w:r>
      <w:r>
        <w:rPr>
          <w:rFonts w:ascii="方正仿宋_GBK" w:hAnsi="方正仿宋_GBK" w:eastAsia="方正仿宋_GBK" w:cs="Times New Roman"/>
        </w:rPr>
        <w:t>成员人数以及技术、经济等方面专家的确定方式见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7E470276">
      <w:pPr>
        <w:ind w:left="105" w:right="105" w:firstLine="420" w:firstLineChars="200"/>
        <w:contextualSpacing/>
        <w:outlineLvl w:val="3"/>
        <w:rPr>
          <w:rFonts w:ascii="方正仿宋_GBK" w:hAnsi="方正仿宋_GBK" w:eastAsia="方正仿宋_GBK" w:cs="Times New Roman"/>
        </w:rPr>
      </w:pPr>
      <w:r>
        <w:rPr>
          <w:rFonts w:ascii="方正仿宋_GBK" w:hAnsi="方正仿宋_GBK" w:eastAsia="方正仿宋_GBK" w:cs="Times New Roman"/>
        </w:rPr>
        <w:t xml:space="preserve">6.1.2  </w:t>
      </w:r>
      <w:r>
        <w:rPr>
          <w:rFonts w:hint="eastAsia" w:ascii="方正仿宋_GBK" w:hAnsi="方正仿宋_GBK" w:eastAsia="方正仿宋_GBK" w:cs="Times New Roman"/>
        </w:rPr>
        <w:t>评审小组</w:t>
      </w:r>
      <w:r>
        <w:rPr>
          <w:rFonts w:ascii="方正仿宋_GBK" w:hAnsi="方正仿宋_GBK" w:eastAsia="方正仿宋_GBK" w:cs="Times New Roman"/>
        </w:rPr>
        <w:t>成员有下列情形之一的，应当回避：</w:t>
      </w:r>
    </w:p>
    <w:p w14:paraId="2EDDEE9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（1）</w:t>
      </w:r>
      <w:r>
        <w:rPr>
          <w:rFonts w:hint="eastAsia" w:ascii="方正仿宋_GBK" w:hAnsi="方正仿宋_GBK" w:eastAsia="方正仿宋_GBK" w:cs="Times New Roman"/>
        </w:rPr>
        <w:t>竞选人</w:t>
      </w:r>
      <w:r>
        <w:rPr>
          <w:rFonts w:ascii="方正仿宋_GBK" w:hAnsi="方正仿宋_GBK" w:eastAsia="方正仿宋_GBK" w:cs="Times New Roman"/>
        </w:rPr>
        <w:t>或</w:t>
      </w:r>
      <w:r>
        <w:rPr>
          <w:rFonts w:hint="eastAsia" w:ascii="方正仿宋_GBK" w:hAnsi="方正仿宋_GBK" w:eastAsia="方正仿宋_GBK" w:cs="Times New Roman"/>
        </w:rPr>
        <w:t>竞选人</w:t>
      </w:r>
      <w:r>
        <w:rPr>
          <w:rFonts w:ascii="方正仿宋_GBK" w:hAnsi="方正仿宋_GBK" w:eastAsia="方正仿宋_GBK" w:cs="Times New Roman"/>
        </w:rPr>
        <w:t>主要负责人的近亲属；</w:t>
      </w:r>
    </w:p>
    <w:p w14:paraId="64B0232F">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（2）项目主管部门或者行政监督部门的人员；</w:t>
      </w:r>
    </w:p>
    <w:p w14:paraId="3E11719B">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（3）与</w:t>
      </w:r>
      <w:r>
        <w:rPr>
          <w:rFonts w:hint="eastAsia" w:ascii="方正仿宋_GBK" w:hAnsi="方正仿宋_GBK" w:eastAsia="方正仿宋_GBK" w:cs="Times New Roman"/>
        </w:rPr>
        <w:t>竞选人</w:t>
      </w:r>
      <w:r>
        <w:rPr>
          <w:rFonts w:ascii="方正仿宋_GBK" w:hAnsi="方正仿宋_GBK" w:eastAsia="方正仿宋_GBK" w:cs="Times New Roman"/>
        </w:rPr>
        <w:t>有经济利益关系，可能影响对竞选公正评审的；</w:t>
      </w:r>
    </w:p>
    <w:p w14:paraId="78CB73D2">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（4）曾因在比选、</w:t>
      </w:r>
      <w:r>
        <w:rPr>
          <w:rFonts w:hint="eastAsia" w:ascii="方正仿宋_GBK" w:hAnsi="方正仿宋_GBK" w:eastAsia="方正仿宋_GBK" w:cs="Times New Roman"/>
        </w:rPr>
        <w:t>评审</w:t>
      </w:r>
      <w:r>
        <w:rPr>
          <w:rFonts w:ascii="方正仿宋_GBK" w:hAnsi="方正仿宋_GBK" w:eastAsia="方正仿宋_GBK" w:cs="Times New Roman"/>
        </w:rPr>
        <w:t>以及其他与比选竞选有关活动中从事违法行为而受过行政处罚或刑事处罚的；</w:t>
      </w:r>
    </w:p>
    <w:p w14:paraId="5E9CF6F5">
      <w:pPr>
        <w:ind w:left="105" w:right="105" w:firstLine="420" w:firstLineChars="200"/>
        <w:contextualSpacing/>
        <w:outlineLvl w:val="4"/>
        <w:rPr>
          <w:rFonts w:ascii="方正仿宋_GBK" w:hAnsi="方正仿宋_GBK" w:eastAsia="方正仿宋_GBK" w:cs="Times New Roman"/>
        </w:rPr>
      </w:pPr>
      <w:r>
        <w:rPr>
          <w:rFonts w:ascii="方正仿宋_GBK" w:hAnsi="方正仿宋_GBK" w:eastAsia="方正仿宋_GBK" w:cs="Times New Roman"/>
        </w:rPr>
        <w:t>（5）与</w:t>
      </w:r>
      <w:r>
        <w:rPr>
          <w:rFonts w:hint="eastAsia" w:ascii="方正仿宋_GBK" w:hAnsi="方正仿宋_GBK" w:eastAsia="方正仿宋_GBK" w:cs="Times New Roman"/>
        </w:rPr>
        <w:t>竞选人</w:t>
      </w:r>
      <w:r>
        <w:rPr>
          <w:rFonts w:ascii="方正仿宋_GBK" w:hAnsi="方正仿宋_GBK" w:eastAsia="方正仿宋_GBK" w:cs="Times New Roman"/>
        </w:rPr>
        <w:t>有其他利害关系。</w:t>
      </w:r>
    </w:p>
    <w:p w14:paraId="3BCDFE71">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6.1.3  </w:t>
      </w:r>
      <w:r>
        <w:rPr>
          <w:rFonts w:hint="eastAsia" w:ascii="方正仿宋_GBK" w:hAnsi="方正仿宋_GBK" w:eastAsia="方正仿宋_GBK" w:cs="Times New Roman"/>
        </w:rPr>
        <w:t>评审</w:t>
      </w:r>
      <w:r>
        <w:rPr>
          <w:rFonts w:ascii="方正仿宋_GBK" w:hAnsi="方正仿宋_GBK" w:eastAsia="方正仿宋_GBK" w:cs="Times New Roman"/>
        </w:rPr>
        <w:t>过程中，</w:t>
      </w:r>
      <w:r>
        <w:rPr>
          <w:rFonts w:hint="eastAsia" w:ascii="方正仿宋_GBK" w:hAnsi="方正仿宋_GBK" w:eastAsia="方正仿宋_GBK" w:cs="Times New Roman"/>
        </w:rPr>
        <w:t>评审小组</w:t>
      </w:r>
      <w:r>
        <w:rPr>
          <w:rFonts w:ascii="方正仿宋_GBK" w:hAnsi="方正仿宋_GBK" w:eastAsia="方正仿宋_GBK" w:cs="Times New Roman"/>
        </w:rPr>
        <w:t>成员有回避事由、擅离职守或者因健康等原因不能继续</w:t>
      </w:r>
      <w:r>
        <w:rPr>
          <w:rFonts w:hint="eastAsia" w:ascii="方正仿宋_GBK" w:hAnsi="方正仿宋_GBK" w:eastAsia="方正仿宋_GBK" w:cs="Times New Roman"/>
        </w:rPr>
        <w:t>评审</w:t>
      </w:r>
      <w:r>
        <w:rPr>
          <w:rFonts w:ascii="方正仿宋_GBK" w:hAnsi="方正仿宋_GBK" w:eastAsia="方正仿宋_GBK" w:cs="Times New Roman"/>
        </w:rPr>
        <w:t>的，</w:t>
      </w:r>
      <w:r>
        <w:rPr>
          <w:rFonts w:hint="eastAsia" w:ascii="方正仿宋_GBK" w:hAnsi="方正仿宋_GBK" w:eastAsia="方正仿宋_GBK" w:cs="Times New Roman"/>
        </w:rPr>
        <w:t>比选人</w:t>
      </w:r>
      <w:r>
        <w:rPr>
          <w:rFonts w:ascii="方正仿宋_GBK" w:hAnsi="方正仿宋_GBK" w:eastAsia="方正仿宋_GBK" w:cs="Times New Roman"/>
        </w:rPr>
        <w:t>有权更换。被更换的</w:t>
      </w:r>
      <w:r>
        <w:rPr>
          <w:rFonts w:hint="eastAsia" w:ascii="方正仿宋_GBK" w:hAnsi="方正仿宋_GBK" w:eastAsia="方正仿宋_GBK" w:cs="Times New Roman"/>
        </w:rPr>
        <w:t>评审小组</w:t>
      </w:r>
      <w:r>
        <w:rPr>
          <w:rFonts w:ascii="方正仿宋_GBK" w:hAnsi="方正仿宋_GBK" w:eastAsia="方正仿宋_GBK" w:cs="Times New Roman"/>
        </w:rPr>
        <w:t>成员作出的评审结论无效，由更换后的</w:t>
      </w:r>
      <w:r>
        <w:rPr>
          <w:rFonts w:hint="eastAsia" w:ascii="方正仿宋_GBK" w:hAnsi="方正仿宋_GBK" w:eastAsia="方正仿宋_GBK" w:cs="Times New Roman"/>
        </w:rPr>
        <w:t>评审小组</w:t>
      </w:r>
      <w:r>
        <w:rPr>
          <w:rFonts w:ascii="方正仿宋_GBK" w:hAnsi="方正仿宋_GBK" w:eastAsia="方正仿宋_GBK" w:cs="Times New Roman"/>
        </w:rPr>
        <w:t>成员重新进行评审。</w:t>
      </w:r>
    </w:p>
    <w:p w14:paraId="38372847">
      <w:pPr>
        <w:pStyle w:val="4"/>
        <w:spacing w:before="0" w:after="0" w:line="240" w:lineRule="auto"/>
        <w:ind w:left="105" w:right="105"/>
        <w:contextualSpacing/>
        <w:rPr>
          <w:rFonts w:ascii="方正仿宋_GBK" w:hAnsi="方正仿宋_GBK" w:eastAsia="方正仿宋_GBK" w:cs="Times New Roman"/>
        </w:rPr>
      </w:pPr>
      <w:bookmarkStart w:id="136" w:name="_Toc172188085"/>
      <w:bookmarkStart w:id="137" w:name="_Toc173920590"/>
      <w:r>
        <w:rPr>
          <w:rFonts w:hint="eastAsia" w:ascii="方正仿宋_GBK" w:hAnsi="方正仿宋_GBK" w:eastAsia="方正仿宋_GBK" w:cs="Times New Roman"/>
        </w:rPr>
        <w:t>6.2 评审原则</w:t>
      </w:r>
      <w:bookmarkEnd w:id="136"/>
      <w:bookmarkEnd w:id="137"/>
    </w:p>
    <w:p w14:paraId="6342E3AD">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评审</w:t>
      </w:r>
      <w:r>
        <w:rPr>
          <w:rFonts w:ascii="方正仿宋_GBK" w:hAnsi="方正仿宋_GBK" w:eastAsia="方正仿宋_GBK" w:cs="Times New Roman"/>
        </w:rPr>
        <w:t>活动遵循公平、公正、科学和择优的原则。</w:t>
      </w:r>
    </w:p>
    <w:p w14:paraId="2375DCA7">
      <w:pPr>
        <w:pStyle w:val="4"/>
        <w:spacing w:before="0" w:after="0" w:line="240" w:lineRule="auto"/>
        <w:ind w:left="105" w:right="105"/>
        <w:contextualSpacing/>
        <w:rPr>
          <w:rFonts w:ascii="方正仿宋_GBK" w:hAnsi="方正仿宋_GBK" w:eastAsia="方正仿宋_GBK" w:cs="Times New Roman"/>
        </w:rPr>
      </w:pPr>
      <w:bookmarkStart w:id="138" w:name="_Toc172188086"/>
      <w:bookmarkStart w:id="139" w:name="_Toc173920591"/>
      <w:r>
        <w:rPr>
          <w:rFonts w:hint="eastAsia" w:ascii="方正仿宋_GBK" w:hAnsi="方正仿宋_GBK" w:eastAsia="方正仿宋_GBK" w:cs="Times New Roman"/>
        </w:rPr>
        <w:t>6.3 评审</w:t>
      </w:r>
      <w:bookmarkEnd w:id="138"/>
      <w:bookmarkEnd w:id="139"/>
    </w:p>
    <w:p w14:paraId="6914B336">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6.3.1 </w:t>
      </w:r>
      <w:r>
        <w:rPr>
          <w:rFonts w:hint="eastAsia" w:ascii="方正仿宋_GBK" w:hAnsi="方正仿宋_GBK" w:eastAsia="方正仿宋_GBK" w:cs="Times New Roman"/>
        </w:rPr>
        <w:t>评审小组</w:t>
      </w:r>
      <w:r>
        <w:rPr>
          <w:rFonts w:ascii="方正仿宋_GBK" w:hAnsi="方正仿宋_GBK" w:eastAsia="方正仿宋_GBK" w:cs="Times New Roman"/>
        </w:rPr>
        <w:t>按照第三章“</w:t>
      </w:r>
      <w:r>
        <w:rPr>
          <w:rFonts w:hint="eastAsia" w:ascii="方正仿宋_GBK" w:hAnsi="方正仿宋_GBK" w:eastAsia="方正仿宋_GBK" w:cs="Times New Roman"/>
        </w:rPr>
        <w:t>评审</w:t>
      </w:r>
      <w:r>
        <w:rPr>
          <w:rFonts w:ascii="方正仿宋_GBK" w:hAnsi="方正仿宋_GBK" w:eastAsia="方正仿宋_GBK" w:cs="Times New Roman"/>
        </w:rPr>
        <w:t>办法”规定的方法、评审因素、标准和程序对</w:t>
      </w:r>
      <w:r>
        <w:rPr>
          <w:rFonts w:hint="eastAsia" w:ascii="方正仿宋_GBK" w:hAnsi="方正仿宋_GBK" w:eastAsia="方正仿宋_GBK" w:cs="Times New Roman"/>
        </w:rPr>
        <w:t>竞选文件</w:t>
      </w:r>
      <w:r>
        <w:rPr>
          <w:rFonts w:ascii="方正仿宋_GBK" w:hAnsi="方正仿宋_GBK" w:eastAsia="方正仿宋_GBK" w:cs="Times New Roman"/>
        </w:rPr>
        <w:t>进行评审。第三章“</w:t>
      </w:r>
      <w:r>
        <w:rPr>
          <w:rFonts w:hint="eastAsia" w:ascii="方正仿宋_GBK" w:hAnsi="方正仿宋_GBK" w:eastAsia="方正仿宋_GBK" w:cs="Times New Roman"/>
        </w:rPr>
        <w:t>评审</w:t>
      </w:r>
      <w:r>
        <w:rPr>
          <w:rFonts w:ascii="方正仿宋_GBK" w:hAnsi="方正仿宋_GBK" w:eastAsia="方正仿宋_GBK" w:cs="Times New Roman"/>
        </w:rPr>
        <w:t>办法”没有规定的方法、评审因素和标准，不作为</w:t>
      </w:r>
      <w:r>
        <w:rPr>
          <w:rFonts w:hint="eastAsia" w:ascii="方正仿宋_GBK" w:hAnsi="方正仿宋_GBK" w:eastAsia="方正仿宋_GBK" w:cs="Times New Roman"/>
        </w:rPr>
        <w:t>评审</w:t>
      </w:r>
      <w:r>
        <w:rPr>
          <w:rFonts w:ascii="方正仿宋_GBK" w:hAnsi="方正仿宋_GBK" w:eastAsia="方正仿宋_GBK" w:cs="Times New Roman"/>
        </w:rPr>
        <w:t>依据。</w:t>
      </w:r>
    </w:p>
    <w:p w14:paraId="7330664E">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6.3.2 </w:t>
      </w:r>
      <w:r>
        <w:rPr>
          <w:rFonts w:hint="eastAsia" w:ascii="方正仿宋_GBK" w:hAnsi="方正仿宋_GBK" w:eastAsia="方正仿宋_GBK" w:cs="Times New Roman"/>
        </w:rPr>
        <w:t>评审</w:t>
      </w:r>
      <w:r>
        <w:rPr>
          <w:rFonts w:ascii="方正仿宋_GBK" w:hAnsi="方正仿宋_GBK" w:eastAsia="方正仿宋_GBK" w:cs="Times New Roman"/>
        </w:rPr>
        <w:t>完成后，</w:t>
      </w:r>
      <w:r>
        <w:rPr>
          <w:rFonts w:hint="eastAsia" w:ascii="方正仿宋_GBK" w:hAnsi="方正仿宋_GBK" w:eastAsia="方正仿宋_GBK" w:cs="Times New Roman"/>
        </w:rPr>
        <w:t>评审小组</w:t>
      </w:r>
      <w:r>
        <w:rPr>
          <w:rFonts w:ascii="方正仿宋_GBK" w:hAnsi="方正仿宋_GBK" w:eastAsia="方正仿宋_GBK" w:cs="Times New Roman"/>
        </w:rPr>
        <w:t>应当向</w:t>
      </w:r>
      <w:r>
        <w:rPr>
          <w:rFonts w:hint="eastAsia" w:ascii="方正仿宋_GBK" w:hAnsi="方正仿宋_GBK" w:eastAsia="方正仿宋_GBK" w:cs="Times New Roman"/>
        </w:rPr>
        <w:t>比选人</w:t>
      </w:r>
      <w:r>
        <w:rPr>
          <w:rFonts w:ascii="方正仿宋_GBK" w:hAnsi="方正仿宋_GBK" w:eastAsia="方正仿宋_GBK" w:cs="Times New Roman"/>
        </w:rPr>
        <w:t>提交书面</w:t>
      </w:r>
      <w:r>
        <w:rPr>
          <w:rFonts w:hint="eastAsia" w:ascii="方正仿宋_GBK" w:hAnsi="方正仿宋_GBK" w:eastAsia="方正仿宋_GBK" w:cs="Times New Roman"/>
        </w:rPr>
        <w:t>评审报告</w:t>
      </w:r>
      <w:r>
        <w:rPr>
          <w:rFonts w:ascii="方正仿宋_GBK" w:hAnsi="方正仿宋_GBK" w:eastAsia="方正仿宋_GBK" w:cs="Times New Roman"/>
        </w:rPr>
        <w:t>和</w:t>
      </w:r>
      <w:r>
        <w:rPr>
          <w:rFonts w:hint="eastAsia" w:ascii="方正仿宋_GBK" w:hAnsi="方正仿宋_GBK" w:eastAsia="方正仿宋_GBK" w:cs="Times New Roman"/>
        </w:rPr>
        <w:t>成交竞选人候选人</w:t>
      </w:r>
      <w:r>
        <w:rPr>
          <w:rFonts w:ascii="方正仿宋_GBK" w:hAnsi="方正仿宋_GBK" w:eastAsia="方正仿宋_GBK" w:cs="Times New Roman"/>
        </w:rPr>
        <w:t>名单。</w:t>
      </w:r>
      <w:r>
        <w:rPr>
          <w:rFonts w:hint="eastAsia" w:ascii="方正仿宋_GBK" w:hAnsi="方正仿宋_GBK" w:eastAsia="方正仿宋_GBK" w:cs="Times New Roman"/>
        </w:rPr>
        <w:t>评审小组</w:t>
      </w:r>
      <w:r>
        <w:rPr>
          <w:rFonts w:ascii="方正仿宋_GBK" w:hAnsi="方正仿宋_GBK" w:eastAsia="方正仿宋_GBK" w:cs="Times New Roman"/>
        </w:rPr>
        <w:t>推荐</w:t>
      </w:r>
      <w:r>
        <w:rPr>
          <w:rFonts w:hint="eastAsia" w:ascii="方正仿宋_GBK" w:hAnsi="方正仿宋_GBK" w:eastAsia="方正仿宋_GBK" w:cs="Times New Roman"/>
        </w:rPr>
        <w:t>成交竞选人候选人</w:t>
      </w:r>
      <w:r>
        <w:rPr>
          <w:rFonts w:ascii="方正仿宋_GBK" w:hAnsi="方正仿宋_GBK" w:eastAsia="方正仿宋_GBK" w:cs="Times New Roman"/>
        </w:rPr>
        <w:t>的人数见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0264A9E5">
      <w:pPr>
        <w:pStyle w:val="3"/>
        <w:spacing w:before="0" w:after="0" w:line="240" w:lineRule="auto"/>
        <w:ind w:left="105" w:right="105"/>
        <w:contextualSpacing/>
        <w:rPr>
          <w:rFonts w:hint="eastAsia" w:ascii="方正黑体_GBK" w:hAnsi="方正黑体_GBK" w:eastAsia="方正黑体_GBK" w:cs="Times New Roman"/>
          <w:lang w:val="en-US" w:eastAsia="zh-CN"/>
        </w:rPr>
      </w:pPr>
      <w:bookmarkStart w:id="140" w:name="_Toc173920592"/>
      <w:bookmarkStart w:id="141" w:name="_Toc172188087"/>
      <w:r>
        <w:rPr>
          <w:rFonts w:hint="eastAsia" w:ascii="方正黑体_GBK" w:hAnsi="方正黑体_GBK" w:eastAsia="方正黑体_GBK" w:cs="Times New Roman"/>
          <w:lang w:val="en-US" w:eastAsia="zh-CN"/>
        </w:rPr>
        <w:t>7.合同授予</w:t>
      </w:r>
      <w:bookmarkEnd w:id="140"/>
      <w:bookmarkEnd w:id="141"/>
    </w:p>
    <w:p w14:paraId="6CDCA8A8">
      <w:pPr>
        <w:pStyle w:val="4"/>
        <w:spacing w:before="0" w:after="0" w:line="240" w:lineRule="auto"/>
        <w:ind w:left="105" w:right="105"/>
        <w:contextualSpacing/>
        <w:rPr>
          <w:rFonts w:ascii="方正仿宋_GBK" w:hAnsi="方正仿宋_GBK" w:eastAsia="方正仿宋_GBK" w:cs="Times New Roman"/>
        </w:rPr>
      </w:pPr>
      <w:bookmarkStart w:id="142" w:name="_Toc172188088"/>
      <w:bookmarkStart w:id="143" w:name="_Toc173920593"/>
      <w:r>
        <w:rPr>
          <w:rFonts w:hint="eastAsia" w:ascii="方正仿宋_GBK" w:hAnsi="方正仿宋_GBK" w:eastAsia="方正仿宋_GBK" w:cs="Times New Roman"/>
        </w:rPr>
        <w:t>7.1 成交竞选人候选人</w:t>
      </w:r>
      <w:bookmarkEnd w:id="142"/>
      <w:bookmarkEnd w:id="143"/>
      <w:r>
        <w:rPr>
          <w:rFonts w:hint="eastAsia" w:ascii="方正仿宋_GBK" w:hAnsi="方正仿宋_GBK" w:eastAsia="方正仿宋_GBK" w:cs="Times New Roman"/>
        </w:rPr>
        <w:t>确定</w:t>
      </w:r>
    </w:p>
    <w:p w14:paraId="2B1B052E">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比选人</w:t>
      </w:r>
      <w:r>
        <w:rPr>
          <w:rFonts w:ascii="方正仿宋_GBK" w:hAnsi="方正仿宋_GBK" w:eastAsia="方正仿宋_GBK" w:cs="Times New Roman"/>
        </w:rPr>
        <w:t>在收到</w:t>
      </w:r>
      <w:r>
        <w:rPr>
          <w:rFonts w:hint="eastAsia" w:ascii="方正仿宋_GBK" w:hAnsi="方正仿宋_GBK" w:eastAsia="方正仿宋_GBK" w:cs="Times New Roman"/>
        </w:rPr>
        <w:t>评审报告</w:t>
      </w:r>
      <w:r>
        <w:rPr>
          <w:rFonts w:ascii="方正仿宋_GBK" w:hAnsi="方正仿宋_GBK" w:eastAsia="方正仿宋_GBK" w:cs="Times New Roman"/>
        </w:rPr>
        <w:t>之日起3日内</w:t>
      </w:r>
      <w:r>
        <w:rPr>
          <w:rFonts w:hint="eastAsia" w:ascii="方正仿宋_GBK" w:hAnsi="方正仿宋_GBK" w:eastAsia="方正仿宋_GBK" w:cs="Times New Roman"/>
        </w:rPr>
        <w:t>，</w:t>
      </w:r>
      <w:r>
        <w:rPr>
          <w:rFonts w:ascii="方正仿宋_GBK" w:hAnsi="方正仿宋_GBK" w:eastAsia="方正仿宋_GBK" w:cs="Times New Roman"/>
        </w:rPr>
        <w:t>按照</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w:t>
      </w:r>
      <w:r>
        <w:rPr>
          <w:rFonts w:hint="eastAsia" w:ascii="方正仿宋_GBK" w:hAnsi="方正仿宋_GBK" w:eastAsia="方正仿宋_GBK" w:cs="Times New Roman"/>
        </w:rPr>
        <w:t>确定成交竞选人</w:t>
      </w:r>
      <w:r>
        <w:rPr>
          <w:rFonts w:ascii="方正仿宋_GBK" w:hAnsi="方正仿宋_GBK" w:eastAsia="方正仿宋_GBK" w:cs="Times New Roman"/>
        </w:rPr>
        <w:t>。</w:t>
      </w:r>
      <w:r>
        <w:rPr>
          <w:rFonts w:hint="eastAsia" w:ascii="方正仿宋_GBK" w:hAnsi="方正仿宋_GBK" w:eastAsia="方正仿宋_GBK" w:cs="Times New Roman"/>
        </w:rPr>
        <w:t>比选结果向参与比选的竞选人公开。</w:t>
      </w:r>
    </w:p>
    <w:p w14:paraId="03A41A03">
      <w:pPr>
        <w:pStyle w:val="4"/>
        <w:spacing w:before="0" w:after="0" w:line="240" w:lineRule="auto"/>
        <w:ind w:left="105" w:right="105"/>
        <w:contextualSpacing/>
        <w:rPr>
          <w:rFonts w:ascii="方正仿宋_GBK" w:hAnsi="方正仿宋_GBK" w:eastAsia="方正仿宋_GBK" w:cs="Times New Roman"/>
        </w:rPr>
      </w:pPr>
      <w:bookmarkStart w:id="144" w:name="_Toc173920594"/>
      <w:bookmarkStart w:id="145" w:name="_Toc172188089"/>
      <w:r>
        <w:rPr>
          <w:rFonts w:hint="eastAsia" w:ascii="方正仿宋_GBK" w:hAnsi="方正仿宋_GBK" w:eastAsia="方正仿宋_GBK" w:cs="Times New Roman"/>
        </w:rPr>
        <w:t>7.2 评审结果异议</w:t>
      </w:r>
      <w:bookmarkEnd w:id="144"/>
      <w:bookmarkEnd w:id="145"/>
    </w:p>
    <w:p w14:paraId="1E49DFAC">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竞选人</w:t>
      </w:r>
      <w:r>
        <w:rPr>
          <w:rFonts w:ascii="方正仿宋_GBK" w:hAnsi="方正仿宋_GBK" w:eastAsia="方正仿宋_GBK" w:cs="Times New Roman"/>
        </w:rPr>
        <w:t>或者其他利害关系人对</w:t>
      </w:r>
      <w:r>
        <w:rPr>
          <w:rFonts w:hint="eastAsia" w:ascii="方正仿宋_GBK" w:hAnsi="方正仿宋_GBK" w:eastAsia="方正仿宋_GBK" w:cs="Times New Roman"/>
        </w:rPr>
        <w:t>评审</w:t>
      </w:r>
      <w:r>
        <w:rPr>
          <w:rFonts w:ascii="方正仿宋_GBK" w:hAnsi="方正仿宋_GBK" w:eastAsia="方正仿宋_GBK" w:cs="Times New Roman"/>
        </w:rPr>
        <w:t>结果有异议的</w:t>
      </w:r>
      <w:r>
        <w:rPr>
          <w:rFonts w:hint="eastAsia" w:ascii="方正仿宋_GBK" w:hAnsi="方正仿宋_GBK" w:eastAsia="方正仿宋_GBK" w:cs="Times New Roman"/>
        </w:rPr>
        <w:t>，</w:t>
      </w:r>
      <w:r>
        <w:rPr>
          <w:rFonts w:ascii="方正仿宋_GBK" w:hAnsi="方正仿宋_GBK" w:eastAsia="方正仿宋_GBK" w:cs="Times New Roman"/>
        </w:rPr>
        <w:t>应当在</w:t>
      </w:r>
      <w:r>
        <w:rPr>
          <w:rFonts w:hint="eastAsia" w:ascii="方正仿宋_GBK" w:hAnsi="方正仿宋_GBK" w:eastAsia="方正仿宋_GBK" w:cs="Times New Roman"/>
        </w:rPr>
        <w:t>收到成交竞选人结果3日内</w:t>
      </w:r>
      <w:r>
        <w:rPr>
          <w:rFonts w:ascii="方正仿宋_GBK" w:hAnsi="方正仿宋_GBK" w:eastAsia="方正仿宋_GBK" w:cs="Times New Roman"/>
        </w:rPr>
        <w:t>提出。</w:t>
      </w:r>
      <w:r>
        <w:rPr>
          <w:rFonts w:hint="eastAsia" w:ascii="方正仿宋_GBK" w:hAnsi="方正仿宋_GBK" w:eastAsia="方正仿宋_GBK" w:cs="Times New Roman"/>
        </w:rPr>
        <w:t>比选人</w:t>
      </w:r>
      <w:r>
        <w:rPr>
          <w:rFonts w:ascii="方正仿宋_GBK" w:hAnsi="方正仿宋_GBK" w:eastAsia="方正仿宋_GBK" w:cs="Times New Roman"/>
        </w:rPr>
        <w:t>将在收到异议之日起3日内作出答复</w:t>
      </w:r>
      <w:r>
        <w:rPr>
          <w:rFonts w:hint="eastAsia" w:ascii="方正仿宋_GBK" w:hAnsi="方正仿宋_GBK" w:eastAsia="方正仿宋_GBK" w:cs="Times New Roman"/>
        </w:rPr>
        <w:t>；</w:t>
      </w:r>
      <w:r>
        <w:rPr>
          <w:rFonts w:ascii="方正仿宋_GBK" w:hAnsi="方正仿宋_GBK" w:eastAsia="方正仿宋_GBK" w:cs="Times New Roman"/>
        </w:rPr>
        <w:t>作出答复前，将暂停比选竞选活动。</w:t>
      </w:r>
    </w:p>
    <w:p w14:paraId="20D0E1CE">
      <w:pPr>
        <w:pStyle w:val="4"/>
        <w:spacing w:before="0" w:after="0" w:line="240" w:lineRule="auto"/>
        <w:ind w:left="105" w:right="105"/>
        <w:contextualSpacing/>
        <w:rPr>
          <w:rFonts w:ascii="方正仿宋_GBK" w:hAnsi="方正仿宋_GBK" w:eastAsia="方正仿宋_GBK" w:cs="Times New Roman"/>
        </w:rPr>
      </w:pPr>
      <w:bookmarkStart w:id="146" w:name="_Toc173920595"/>
      <w:bookmarkStart w:id="147" w:name="_Toc172188090"/>
      <w:r>
        <w:rPr>
          <w:rFonts w:hint="eastAsia" w:ascii="方正仿宋_GBK" w:hAnsi="方正仿宋_GBK" w:eastAsia="方正仿宋_GBK" w:cs="Times New Roman"/>
        </w:rPr>
        <w:t>7.3 成交竞选人候选人履约能力审查</w:t>
      </w:r>
      <w:bookmarkEnd w:id="146"/>
      <w:bookmarkEnd w:id="147"/>
    </w:p>
    <w:p w14:paraId="6C4C6BF0">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成交竞选人候选人</w:t>
      </w:r>
      <w:r>
        <w:rPr>
          <w:rFonts w:ascii="方正仿宋_GBK" w:hAnsi="方正仿宋_GBK" w:eastAsia="方正仿宋_GBK" w:cs="Times New Roman"/>
        </w:rPr>
        <w:t>的经营、财务状况发生较大变化或存在违法行为，</w:t>
      </w:r>
      <w:r>
        <w:rPr>
          <w:rFonts w:hint="eastAsia" w:ascii="方正仿宋_GBK" w:hAnsi="方正仿宋_GBK" w:eastAsia="方正仿宋_GBK" w:cs="Times New Roman"/>
        </w:rPr>
        <w:t>比选人</w:t>
      </w:r>
      <w:r>
        <w:rPr>
          <w:rFonts w:ascii="方正仿宋_GBK" w:hAnsi="方正仿宋_GBK" w:eastAsia="方正仿宋_GBK" w:cs="Times New Roman"/>
        </w:rPr>
        <w:t>认为可能影响其履约能力的，将在发出</w:t>
      </w:r>
      <w:r>
        <w:rPr>
          <w:rFonts w:hint="eastAsia" w:ascii="方正仿宋_GBK" w:hAnsi="方正仿宋_GBK" w:eastAsia="方正仿宋_GBK" w:cs="Times New Roman"/>
        </w:rPr>
        <w:t>成交通知书</w:t>
      </w:r>
      <w:r>
        <w:rPr>
          <w:rFonts w:ascii="方正仿宋_GBK" w:hAnsi="方正仿宋_GBK" w:eastAsia="方正仿宋_GBK" w:cs="Times New Roman"/>
        </w:rPr>
        <w:t>前提请原</w:t>
      </w:r>
      <w:r>
        <w:rPr>
          <w:rFonts w:hint="eastAsia" w:ascii="方正仿宋_GBK" w:hAnsi="方正仿宋_GBK" w:eastAsia="方正仿宋_GBK" w:cs="Times New Roman"/>
        </w:rPr>
        <w:t>评审小组</w:t>
      </w:r>
      <w:r>
        <w:rPr>
          <w:rFonts w:ascii="方正仿宋_GBK" w:hAnsi="方正仿宋_GBK" w:eastAsia="方正仿宋_GBK" w:cs="Times New Roman"/>
        </w:rPr>
        <w:t>按照</w:t>
      </w:r>
      <w:r>
        <w:rPr>
          <w:rFonts w:hint="eastAsia" w:ascii="方正仿宋_GBK" w:hAnsi="方正仿宋_GBK" w:eastAsia="方正仿宋_GBK" w:cs="Times New Roman"/>
        </w:rPr>
        <w:t>比选文件</w:t>
      </w:r>
      <w:r>
        <w:rPr>
          <w:rFonts w:ascii="方正仿宋_GBK" w:hAnsi="方正仿宋_GBK" w:eastAsia="方正仿宋_GBK" w:cs="Times New Roman"/>
        </w:rPr>
        <w:t>规定的标准和方法进行审查确认。</w:t>
      </w:r>
    </w:p>
    <w:p w14:paraId="540B271A">
      <w:pPr>
        <w:pStyle w:val="4"/>
        <w:spacing w:before="0" w:after="0" w:line="240" w:lineRule="auto"/>
        <w:ind w:left="105" w:right="105"/>
        <w:contextualSpacing/>
        <w:rPr>
          <w:rFonts w:ascii="方正仿宋_GBK" w:hAnsi="方正仿宋_GBK" w:eastAsia="方正仿宋_GBK" w:cs="Times New Roman"/>
        </w:rPr>
      </w:pPr>
      <w:bookmarkStart w:id="148" w:name="_Toc172188091"/>
      <w:bookmarkStart w:id="149" w:name="_Toc173920596"/>
      <w:r>
        <w:rPr>
          <w:rFonts w:hint="eastAsia" w:ascii="方正仿宋_GBK" w:hAnsi="方正仿宋_GBK" w:eastAsia="方正仿宋_GBK" w:cs="Times New Roman"/>
        </w:rPr>
        <w:t>7.4 定标</w:t>
      </w:r>
      <w:bookmarkEnd w:id="148"/>
      <w:bookmarkEnd w:id="149"/>
    </w:p>
    <w:p w14:paraId="329A5923">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按照</w:t>
      </w:r>
      <w:r>
        <w:rPr>
          <w:rFonts w:hint="eastAsia" w:ascii="方正仿宋_GBK" w:hAnsi="方正仿宋_GBK" w:eastAsia="方正仿宋_GBK" w:cs="Times New Roman"/>
        </w:rPr>
        <w:t>竞选人</w:t>
      </w:r>
      <w:r>
        <w:rPr>
          <w:rFonts w:ascii="方正仿宋_GBK" w:hAnsi="方正仿宋_GBK" w:eastAsia="方正仿宋_GBK" w:cs="Times New Roman"/>
        </w:rPr>
        <w:t>须知前附表的规定，</w:t>
      </w:r>
      <w:r>
        <w:rPr>
          <w:rFonts w:hint="eastAsia" w:ascii="方正仿宋_GBK" w:hAnsi="方正仿宋_GBK" w:eastAsia="方正仿宋_GBK" w:cs="Times New Roman"/>
        </w:rPr>
        <w:t>比选人</w:t>
      </w:r>
      <w:r>
        <w:rPr>
          <w:rFonts w:ascii="方正仿宋_GBK" w:hAnsi="方正仿宋_GBK" w:eastAsia="方正仿宋_GBK" w:cs="Times New Roman"/>
        </w:rPr>
        <w:t>或</w:t>
      </w:r>
      <w:r>
        <w:rPr>
          <w:rFonts w:hint="eastAsia" w:ascii="方正仿宋_GBK" w:hAnsi="方正仿宋_GBK" w:eastAsia="方正仿宋_GBK" w:cs="Times New Roman"/>
        </w:rPr>
        <w:t>比选人</w:t>
      </w:r>
      <w:r>
        <w:rPr>
          <w:rFonts w:ascii="方正仿宋_GBK" w:hAnsi="方正仿宋_GBK" w:eastAsia="方正仿宋_GBK" w:cs="Times New Roman"/>
        </w:rPr>
        <w:t>授权的</w:t>
      </w:r>
      <w:r>
        <w:rPr>
          <w:rFonts w:hint="eastAsia" w:ascii="方正仿宋_GBK" w:hAnsi="方正仿宋_GBK" w:eastAsia="方正仿宋_GBK" w:cs="Times New Roman"/>
        </w:rPr>
        <w:t>评审小组</w:t>
      </w:r>
      <w:r>
        <w:rPr>
          <w:rFonts w:ascii="方正仿宋_GBK" w:hAnsi="方正仿宋_GBK" w:eastAsia="方正仿宋_GBK" w:cs="Times New Roman"/>
        </w:rPr>
        <w:t>依法确定</w:t>
      </w:r>
      <w:r>
        <w:rPr>
          <w:rFonts w:hint="eastAsia" w:ascii="方正仿宋_GBK" w:hAnsi="方正仿宋_GBK" w:eastAsia="方正仿宋_GBK" w:cs="Times New Roman"/>
        </w:rPr>
        <w:t>成交竞选人</w:t>
      </w:r>
      <w:r>
        <w:rPr>
          <w:rFonts w:ascii="方正仿宋_GBK" w:hAnsi="方正仿宋_GBK" w:eastAsia="方正仿宋_GBK" w:cs="Times New Roman"/>
        </w:rPr>
        <w:t>。</w:t>
      </w:r>
    </w:p>
    <w:p w14:paraId="1EA6CF2A">
      <w:pPr>
        <w:pStyle w:val="4"/>
        <w:spacing w:before="0" w:after="0" w:line="240" w:lineRule="auto"/>
        <w:ind w:left="105" w:right="105"/>
        <w:contextualSpacing/>
        <w:rPr>
          <w:rFonts w:ascii="方正仿宋_GBK" w:hAnsi="方正仿宋_GBK" w:eastAsia="方正仿宋_GBK" w:cs="Times New Roman"/>
        </w:rPr>
      </w:pPr>
      <w:bookmarkStart w:id="150" w:name="_Toc173920597"/>
      <w:bookmarkStart w:id="151" w:name="_Toc172188092"/>
      <w:r>
        <w:rPr>
          <w:rFonts w:hint="eastAsia" w:ascii="方正仿宋_GBK" w:hAnsi="方正仿宋_GBK" w:eastAsia="方正仿宋_GBK" w:cs="Times New Roman"/>
        </w:rPr>
        <w:t>7.5 中选通知</w:t>
      </w:r>
      <w:bookmarkEnd w:id="150"/>
      <w:bookmarkEnd w:id="151"/>
    </w:p>
    <w:p w14:paraId="7F605D22">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在本章第 3.3 款规定的竞选有效期内，</w:t>
      </w:r>
      <w:r>
        <w:rPr>
          <w:rFonts w:hint="eastAsia" w:ascii="方正仿宋_GBK" w:hAnsi="方正仿宋_GBK" w:eastAsia="方正仿宋_GBK" w:cs="Times New Roman"/>
        </w:rPr>
        <w:t>比选人</w:t>
      </w:r>
      <w:r>
        <w:rPr>
          <w:rFonts w:ascii="方正仿宋_GBK" w:hAnsi="方正仿宋_GBK" w:eastAsia="方正仿宋_GBK" w:cs="Times New Roman"/>
        </w:rPr>
        <w:t>以书面形式向</w:t>
      </w:r>
      <w:r>
        <w:rPr>
          <w:rFonts w:hint="eastAsia" w:ascii="方正仿宋_GBK" w:hAnsi="方正仿宋_GBK" w:eastAsia="方正仿宋_GBK" w:cs="Times New Roman"/>
        </w:rPr>
        <w:t>成交竞选人</w:t>
      </w:r>
      <w:r>
        <w:rPr>
          <w:rFonts w:ascii="方正仿宋_GBK" w:hAnsi="方正仿宋_GBK" w:eastAsia="方正仿宋_GBK" w:cs="Times New Roman"/>
        </w:rPr>
        <w:t>发出</w:t>
      </w:r>
      <w:r>
        <w:rPr>
          <w:rFonts w:hint="eastAsia" w:ascii="方正仿宋_GBK" w:hAnsi="方正仿宋_GBK" w:eastAsia="方正仿宋_GBK" w:cs="Times New Roman"/>
        </w:rPr>
        <w:t>成交通知书</w:t>
      </w:r>
      <w:r>
        <w:rPr>
          <w:rFonts w:ascii="方正仿宋_GBK" w:hAnsi="方正仿宋_GBK" w:eastAsia="方正仿宋_GBK" w:cs="Times New Roman"/>
        </w:rPr>
        <w:t>，同时将中</w:t>
      </w:r>
      <w:r>
        <w:rPr>
          <w:rFonts w:hint="eastAsia" w:ascii="方正仿宋_GBK" w:hAnsi="方正仿宋_GBK" w:eastAsia="方正仿宋_GBK" w:cs="Times New Roman"/>
        </w:rPr>
        <w:t>选</w:t>
      </w:r>
      <w:r>
        <w:rPr>
          <w:rFonts w:ascii="方正仿宋_GBK" w:hAnsi="方正仿宋_GBK" w:eastAsia="方正仿宋_GBK" w:cs="Times New Roman"/>
        </w:rPr>
        <w:t>结果通知未中</w:t>
      </w:r>
      <w:r>
        <w:rPr>
          <w:rFonts w:hint="eastAsia" w:ascii="方正仿宋_GBK" w:hAnsi="方正仿宋_GBK" w:eastAsia="方正仿宋_GBK" w:cs="Times New Roman"/>
        </w:rPr>
        <w:t>选</w:t>
      </w:r>
      <w:r>
        <w:rPr>
          <w:rFonts w:ascii="方正仿宋_GBK" w:hAnsi="方正仿宋_GBK" w:eastAsia="方正仿宋_GBK" w:cs="Times New Roman"/>
        </w:rPr>
        <w:t>的</w:t>
      </w:r>
      <w:r>
        <w:rPr>
          <w:rFonts w:hint="eastAsia" w:ascii="方正仿宋_GBK" w:hAnsi="方正仿宋_GBK" w:eastAsia="方正仿宋_GBK" w:cs="Times New Roman"/>
        </w:rPr>
        <w:t>竞选人</w:t>
      </w:r>
      <w:r>
        <w:rPr>
          <w:rFonts w:ascii="方正仿宋_GBK" w:hAnsi="方正仿宋_GBK" w:eastAsia="方正仿宋_GBK" w:cs="Times New Roman"/>
        </w:rPr>
        <w:t>。</w:t>
      </w:r>
    </w:p>
    <w:p w14:paraId="32F49927">
      <w:pPr>
        <w:pStyle w:val="4"/>
        <w:spacing w:before="0" w:after="0" w:line="240" w:lineRule="auto"/>
        <w:ind w:left="105" w:right="105"/>
        <w:contextualSpacing/>
        <w:rPr>
          <w:rFonts w:ascii="方正仿宋_GBK" w:hAnsi="方正仿宋_GBK" w:eastAsia="方正仿宋_GBK" w:cs="Times New Roman"/>
        </w:rPr>
      </w:pPr>
      <w:bookmarkStart w:id="152" w:name="_Toc173920598"/>
      <w:bookmarkStart w:id="153" w:name="_Toc172188093"/>
      <w:r>
        <w:rPr>
          <w:rFonts w:hint="eastAsia" w:ascii="方正仿宋_GBK" w:hAnsi="方正仿宋_GBK" w:eastAsia="方正仿宋_GBK" w:cs="Times New Roman"/>
        </w:rPr>
        <w:t>7.6 履约保证金</w:t>
      </w:r>
      <w:bookmarkEnd w:id="152"/>
      <w:bookmarkEnd w:id="153"/>
    </w:p>
    <w:p w14:paraId="33AABA40">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7.6.1  在签订合同前</w:t>
      </w:r>
      <w:r>
        <w:rPr>
          <w:rFonts w:hint="eastAsia" w:ascii="方正仿宋_GBK" w:hAnsi="方正仿宋_GBK" w:eastAsia="方正仿宋_GBK" w:cs="Times New Roman"/>
        </w:rPr>
        <w:t>，成交竞选人</w:t>
      </w:r>
      <w:r>
        <w:rPr>
          <w:rFonts w:ascii="方正仿宋_GBK" w:hAnsi="方正仿宋_GBK" w:eastAsia="方正仿宋_GBK" w:cs="Times New Roman"/>
        </w:rPr>
        <w:t>应按</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须知前附表规定的形式、金额和</w:t>
      </w:r>
      <w:r>
        <w:rPr>
          <w:rFonts w:hint="eastAsia" w:ascii="方正仿宋_GBK" w:hAnsi="方正仿宋_GBK" w:eastAsia="方正仿宋_GBK" w:cs="Times New Roman"/>
        </w:rPr>
        <w:t>比选文件</w:t>
      </w:r>
      <w:r>
        <w:rPr>
          <w:rFonts w:ascii="方正仿宋_GBK" w:hAnsi="方正仿宋_GBK" w:eastAsia="方正仿宋_GBK" w:cs="Times New Roman"/>
        </w:rPr>
        <w:t>第四章“合同条款及格式”规定的或者事先经过</w:t>
      </w:r>
      <w:r>
        <w:rPr>
          <w:rFonts w:hint="eastAsia" w:ascii="方正仿宋_GBK" w:hAnsi="方正仿宋_GBK" w:eastAsia="方正仿宋_GBK" w:cs="Times New Roman"/>
        </w:rPr>
        <w:t>比选人</w:t>
      </w:r>
      <w:r>
        <w:rPr>
          <w:rFonts w:ascii="方正仿宋_GBK" w:hAnsi="方正仿宋_GBK" w:eastAsia="方正仿宋_GBK" w:cs="Times New Roman"/>
        </w:rPr>
        <w:t>书面认可的履约保证金格式向</w:t>
      </w:r>
      <w:r>
        <w:rPr>
          <w:rFonts w:hint="eastAsia" w:ascii="方正仿宋_GBK" w:hAnsi="方正仿宋_GBK" w:eastAsia="方正仿宋_GBK" w:cs="Times New Roman"/>
        </w:rPr>
        <w:t>比选人</w:t>
      </w:r>
      <w:r>
        <w:rPr>
          <w:rFonts w:ascii="方正仿宋_GBK" w:hAnsi="方正仿宋_GBK" w:eastAsia="方正仿宋_GBK" w:cs="Times New Roman"/>
        </w:rPr>
        <w:t>提交履约保证金。除</w:t>
      </w:r>
      <w:r>
        <w:rPr>
          <w:rFonts w:hint="eastAsia" w:ascii="方正仿宋_GBK" w:hAnsi="方正仿宋_GBK" w:eastAsia="方正仿宋_GBK" w:cs="Times New Roman"/>
        </w:rPr>
        <w:t>竞选人</w:t>
      </w:r>
      <w:r>
        <w:rPr>
          <w:rFonts w:ascii="方正仿宋_GBK" w:hAnsi="方正仿宋_GBK" w:eastAsia="方正仿宋_GBK" w:cs="Times New Roman"/>
        </w:rPr>
        <w:t>须知前附表另有规定外，履约保证金为</w:t>
      </w:r>
      <w:r>
        <w:rPr>
          <w:rFonts w:hint="eastAsia" w:ascii="方正仿宋_GBK" w:hAnsi="方正仿宋_GBK" w:eastAsia="方正仿宋_GBK" w:cs="Times New Roman"/>
          <w:lang w:eastAsia="zh-CN"/>
        </w:rPr>
        <w:t>成交</w:t>
      </w:r>
      <w:r>
        <w:rPr>
          <w:rFonts w:ascii="方正仿宋_GBK" w:hAnsi="方正仿宋_GBK" w:eastAsia="方正仿宋_GBK" w:cs="Times New Roman"/>
        </w:rPr>
        <w:t>合同金额的</w:t>
      </w:r>
      <w:r>
        <w:rPr>
          <w:rFonts w:hint="eastAsia" w:ascii="方正仿宋_GBK" w:hAnsi="方正仿宋_GBK" w:eastAsia="方正仿宋_GBK" w:cs="Times New Roman"/>
        </w:rPr>
        <w:t>5</w:t>
      </w:r>
      <w:r>
        <w:rPr>
          <w:rFonts w:ascii="方正仿宋_GBK" w:hAnsi="方正仿宋_GBK" w:eastAsia="方正仿宋_GBK" w:cs="Times New Roman"/>
        </w:rPr>
        <w:t>%。联合体中</w:t>
      </w:r>
      <w:r>
        <w:rPr>
          <w:rFonts w:hint="eastAsia" w:ascii="方正仿宋_GBK" w:hAnsi="方正仿宋_GBK" w:eastAsia="方正仿宋_GBK" w:cs="Times New Roman"/>
          <w:lang w:eastAsia="zh-CN"/>
        </w:rPr>
        <w:t>选</w:t>
      </w:r>
      <w:r>
        <w:rPr>
          <w:rFonts w:ascii="方正仿宋_GBK" w:hAnsi="方正仿宋_GBK" w:eastAsia="方正仿宋_GBK" w:cs="Times New Roman"/>
        </w:rPr>
        <w:t>的，其履约保证金以联合体各方或者联合体中牵头人的名义提交。</w:t>
      </w:r>
    </w:p>
    <w:p w14:paraId="3B8825D4">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7.6.2  </w:t>
      </w:r>
      <w:r>
        <w:rPr>
          <w:rFonts w:hint="eastAsia" w:ascii="方正仿宋_GBK" w:hAnsi="方正仿宋_GBK" w:eastAsia="方正仿宋_GBK" w:cs="Times New Roman"/>
        </w:rPr>
        <w:t>成交竞选人</w:t>
      </w:r>
      <w:r>
        <w:rPr>
          <w:rFonts w:ascii="方正仿宋_GBK" w:hAnsi="方正仿宋_GBK" w:eastAsia="方正仿宋_GBK" w:cs="Times New Roman"/>
        </w:rPr>
        <w:t>不能按本章第7.6.1项要求提交履约保证金的，视为放弃中</w:t>
      </w:r>
      <w:r>
        <w:rPr>
          <w:rFonts w:hint="eastAsia" w:ascii="方正仿宋_GBK" w:hAnsi="方正仿宋_GBK" w:eastAsia="方正仿宋_GBK" w:cs="Times New Roman"/>
        </w:rPr>
        <w:t>选</w:t>
      </w:r>
      <w:r>
        <w:rPr>
          <w:rFonts w:ascii="方正仿宋_GBK" w:hAnsi="方正仿宋_GBK" w:eastAsia="方正仿宋_GBK" w:cs="Times New Roman"/>
        </w:rPr>
        <w:t>，其</w:t>
      </w:r>
      <w:r>
        <w:rPr>
          <w:rFonts w:hint="eastAsia" w:ascii="方正仿宋_GBK" w:hAnsi="方正仿宋_GBK" w:eastAsia="方正仿宋_GBK" w:cs="Times New Roman"/>
        </w:rPr>
        <w:t>竞选保证金</w:t>
      </w:r>
      <w:r>
        <w:rPr>
          <w:rFonts w:ascii="方正仿宋_GBK" w:hAnsi="方正仿宋_GBK" w:eastAsia="方正仿宋_GBK" w:cs="Times New Roman"/>
        </w:rPr>
        <w:t>不予退还</w:t>
      </w:r>
      <w:r>
        <w:rPr>
          <w:rFonts w:hint="eastAsia" w:ascii="方正仿宋_GBK" w:hAnsi="方正仿宋_GBK" w:eastAsia="方正仿宋_GBK" w:cs="Times New Roman"/>
        </w:rPr>
        <w:t>，</w:t>
      </w:r>
      <w:r>
        <w:rPr>
          <w:rFonts w:ascii="方正仿宋_GBK" w:hAnsi="方正仿宋_GBK" w:eastAsia="方正仿宋_GBK" w:cs="Times New Roman"/>
        </w:rPr>
        <w:t>给</w:t>
      </w:r>
      <w:r>
        <w:rPr>
          <w:rFonts w:hint="eastAsia" w:ascii="方正仿宋_GBK" w:hAnsi="方正仿宋_GBK" w:eastAsia="方正仿宋_GBK" w:cs="Times New Roman"/>
        </w:rPr>
        <w:t>比选人</w:t>
      </w:r>
      <w:r>
        <w:rPr>
          <w:rFonts w:ascii="方正仿宋_GBK" w:hAnsi="方正仿宋_GBK" w:eastAsia="方正仿宋_GBK" w:cs="Times New Roman"/>
        </w:rPr>
        <w:t>造成的损失超过</w:t>
      </w:r>
      <w:r>
        <w:rPr>
          <w:rFonts w:hint="eastAsia" w:ascii="方正仿宋_GBK" w:hAnsi="方正仿宋_GBK" w:eastAsia="方正仿宋_GBK" w:cs="Times New Roman"/>
        </w:rPr>
        <w:t>竞选保证金</w:t>
      </w:r>
      <w:r>
        <w:rPr>
          <w:rFonts w:ascii="方正仿宋_GBK" w:hAnsi="方正仿宋_GBK" w:eastAsia="方正仿宋_GBK" w:cs="Times New Roman"/>
        </w:rPr>
        <w:t>数额的，</w:t>
      </w:r>
      <w:r>
        <w:rPr>
          <w:rFonts w:hint="eastAsia" w:ascii="方正仿宋_GBK" w:hAnsi="方正仿宋_GBK" w:eastAsia="方正仿宋_GBK" w:cs="Times New Roman"/>
        </w:rPr>
        <w:t>成交竞选人</w:t>
      </w:r>
      <w:r>
        <w:rPr>
          <w:rFonts w:ascii="方正仿宋_GBK" w:hAnsi="方正仿宋_GBK" w:eastAsia="方正仿宋_GBK" w:cs="Times New Roman"/>
        </w:rPr>
        <w:t>还应当对超过部分予以赔偿。</w:t>
      </w:r>
    </w:p>
    <w:p w14:paraId="3138E66D">
      <w:pPr>
        <w:pStyle w:val="4"/>
        <w:spacing w:before="0" w:after="0" w:line="240" w:lineRule="auto"/>
        <w:ind w:left="105" w:right="105"/>
        <w:contextualSpacing/>
        <w:rPr>
          <w:rFonts w:ascii="方正仿宋_GBK" w:hAnsi="方正仿宋_GBK" w:eastAsia="方正仿宋_GBK" w:cs="Times New Roman"/>
        </w:rPr>
      </w:pPr>
      <w:bookmarkStart w:id="154" w:name="_Toc173920599"/>
      <w:bookmarkStart w:id="155" w:name="_Toc172188094"/>
      <w:r>
        <w:rPr>
          <w:rFonts w:hint="eastAsia" w:ascii="方正仿宋_GBK" w:hAnsi="方正仿宋_GBK" w:eastAsia="方正仿宋_GBK" w:cs="Times New Roman"/>
        </w:rPr>
        <w:t>7.7 签订合同</w:t>
      </w:r>
      <w:bookmarkEnd w:id="154"/>
      <w:bookmarkEnd w:id="155"/>
    </w:p>
    <w:p w14:paraId="31C92FCE">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7.7.1  </w:t>
      </w:r>
      <w:r>
        <w:rPr>
          <w:rFonts w:hint="eastAsia" w:ascii="方正仿宋_GBK" w:hAnsi="方正仿宋_GBK" w:eastAsia="方正仿宋_GBK" w:cs="Times New Roman"/>
        </w:rPr>
        <w:t>比选人</w:t>
      </w:r>
      <w:r>
        <w:rPr>
          <w:rFonts w:ascii="方正仿宋_GBK" w:hAnsi="方正仿宋_GBK" w:eastAsia="方正仿宋_GBK" w:cs="Times New Roman"/>
        </w:rPr>
        <w:t>和</w:t>
      </w:r>
      <w:r>
        <w:rPr>
          <w:rFonts w:hint="eastAsia" w:ascii="方正仿宋_GBK" w:hAnsi="方正仿宋_GBK" w:eastAsia="方正仿宋_GBK" w:cs="Times New Roman"/>
        </w:rPr>
        <w:t>成交竞选人</w:t>
      </w:r>
      <w:r>
        <w:rPr>
          <w:rFonts w:ascii="方正仿宋_GBK" w:hAnsi="方正仿宋_GBK" w:eastAsia="方正仿宋_GBK" w:cs="Times New Roman"/>
        </w:rPr>
        <w:t>应当在</w:t>
      </w:r>
      <w:r>
        <w:rPr>
          <w:rFonts w:hint="eastAsia" w:ascii="方正仿宋_GBK" w:hAnsi="方正仿宋_GBK" w:eastAsia="方正仿宋_GBK" w:cs="Times New Roman"/>
        </w:rPr>
        <w:t>成交通知书</w:t>
      </w:r>
      <w:r>
        <w:rPr>
          <w:rFonts w:ascii="方正仿宋_GBK" w:hAnsi="方正仿宋_GBK" w:eastAsia="方正仿宋_GBK" w:cs="Times New Roman"/>
        </w:rPr>
        <w:t>发出之日起30日内，根据</w:t>
      </w:r>
      <w:r>
        <w:rPr>
          <w:rFonts w:hint="eastAsia" w:ascii="方正仿宋_GBK" w:hAnsi="方正仿宋_GBK" w:eastAsia="方正仿宋_GBK" w:cs="Times New Roman"/>
        </w:rPr>
        <w:t>比选文件</w:t>
      </w:r>
      <w:r>
        <w:rPr>
          <w:rFonts w:ascii="方正仿宋_GBK" w:hAnsi="方正仿宋_GBK" w:eastAsia="方正仿宋_GBK" w:cs="Times New Roman"/>
        </w:rPr>
        <w:t>和</w:t>
      </w:r>
      <w:r>
        <w:rPr>
          <w:rFonts w:hint="eastAsia" w:ascii="方正仿宋_GBK" w:hAnsi="方正仿宋_GBK" w:eastAsia="方正仿宋_GBK" w:cs="Times New Roman"/>
        </w:rPr>
        <w:t>成交竞选人</w:t>
      </w:r>
      <w:r>
        <w:rPr>
          <w:rFonts w:ascii="方正仿宋_GBK" w:hAnsi="方正仿宋_GBK" w:eastAsia="方正仿宋_GBK" w:cs="Times New Roman"/>
        </w:rPr>
        <w:t>的</w:t>
      </w:r>
      <w:r>
        <w:rPr>
          <w:rFonts w:hint="eastAsia" w:ascii="方正仿宋_GBK" w:hAnsi="方正仿宋_GBK" w:eastAsia="方正仿宋_GBK" w:cs="Times New Roman"/>
        </w:rPr>
        <w:t>竞选文件</w:t>
      </w:r>
      <w:r>
        <w:rPr>
          <w:rFonts w:ascii="方正仿宋_GBK" w:hAnsi="方正仿宋_GBK" w:eastAsia="方正仿宋_GBK" w:cs="Times New Roman"/>
        </w:rPr>
        <w:t>订立书面合同。</w:t>
      </w:r>
      <w:r>
        <w:rPr>
          <w:rFonts w:hint="eastAsia" w:ascii="方正仿宋_GBK" w:hAnsi="方正仿宋_GBK" w:eastAsia="方正仿宋_GBK" w:cs="Times New Roman"/>
        </w:rPr>
        <w:t>成交竞选人</w:t>
      </w:r>
      <w:r>
        <w:rPr>
          <w:rFonts w:ascii="方正仿宋_GBK" w:hAnsi="方正仿宋_GBK" w:eastAsia="方正仿宋_GBK" w:cs="Times New Roman"/>
        </w:rPr>
        <w:t>无正当理由拒签合同，在签订合同时向</w:t>
      </w:r>
      <w:r>
        <w:rPr>
          <w:rFonts w:hint="eastAsia" w:ascii="方正仿宋_GBK" w:hAnsi="方正仿宋_GBK" w:eastAsia="方正仿宋_GBK" w:cs="Times New Roman"/>
        </w:rPr>
        <w:t>比选人</w:t>
      </w:r>
      <w:r>
        <w:rPr>
          <w:rFonts w:ascii="方正仿宋_GBK" w:hAnsi="方正仿宋_GBK" w:eastAsia="方正仿宋_GBK" w:cs="Times New Roman"/>
        </w:rPr>
        <w:t>提出附加条件</w:t>
      </w:r>
      <w:r>
        <w:rPr>
          <w:rFonts w:hint="eastAsia" w:ascii="方正仿宋_GBK" w:hAnsi="方正仿宋_GBK" w:eastAsia="方正仿宋_GBK" w:cs="Times New Roman"/>
        </w:rPr>
        <w:t>，</w:t>
      </w:r>
      <w:r>
        <w:rPr>
          <w:rFonts w:ascii="方正仿宋_GBK" w:hAnsi="方正仿宋_GBK" w:eastAsia="方正仿宋_GBK" w:cs="Times New Roman"/>
        </w:rPr>
        <w:t>或者不按照</w:t>
      </w:r>
      <w:r>
        <w:rPr>
          <w:rFonts w:hint="eastAsia" w:ascii="方正仿宋_GBK" w:hAnsi="方正仿宋_GBK" w:eastAsia="方正仿宋_GBK" w:cs="Times New Roman"/>
        </w:rPr>
        <w:t>比选文件</w:t>
      </w:r>
      <w:r>
        <w:rPr>
          <w:rFonts w:ascii="方正仿宋_GBK" w:hAnsi="方正仿宋_GBK" w:eastAsia="方正仿宋_GBK" w:cs="Times New Roman"/>
        </w:rPr>
        <w:t>要求提交履约保证金的</w:t>
      </w:r>
      <w:r>
        <w:rPr>
          <w:rFonts w:hint="eastAsia" w:ascii="方正仿宋_GBK" w:hAnsi="方正仿宋_GBK" w:eastAsia="方正仿宋_GBK" w:cs="Times New Roman"/>
        </w:rPr>
        <w:t>，比选人</w:t>
      </w:r>
      <w:r>
        <w:rPr>
          <w:rFonts w:ascii="方正仿宋_GBK" w:hAnsi="方正仿宋_GBK" w:eastAsia="方正仿宋_GBK" w:cs="Times New Roman"/>
        </w:rPr>
        <w:t>有权取消其中</w:t>
      </w:r>
      <w:r>
        <w:rPr>
          <w:rFonts w:hint="eastAsia" w:ascii="方正仿宋_GBK" w:hAnsi="方正仿宋_GBK" w:eastAsia="方正仿宋_GBK" w:cs="Times New Roman"/>
          <w:lang w:eastAsia="zh-CN"/>
        </w:rPr>
        <w:t>选</w:t>
      </w:r>
      <w:r>
        <w:rPr>
          <w:rFonts w:ascii="方正仿宋_GBK" w:hAnsi="方正仿宋_GBK" w:eastAsia="方正仿宋_GBK" w:cs="Times New Roman"/>
        </w:rPr>
        <w:t>资格，其</w:t>
      </w:r>
      <w:r>
        <w:rPr>
          <w:rFonts w:hint="eastAsia" w:ascii="方正仿宋_GBK" w:hAnsi="方正仿宋_GBK" w:eastAsia="方正仿宋_GBK" w:cs="Times New Roman"/>
        </w:rPr>
        <w:t>竞选保证金</w:t>
      </w:r>
      <w:r>
        <w:rPr>
          <w:rFonts w:ascii="方正仿宋_GBK" w:hAnsi="方正仿宋_GBK" w:eastAsia="方正仿宋_GBK" w:cs="Times New Roman"/>
        </w:rPr>
        <w:t>不予退还；给</w:t>
      </w:r>
      <w:r>
        <w:rPr>
          <w:rFonts w:hint="eastAsia" w:ascii="方正仿宋_GBK" w:hAnsi="方正仿宋_GBK" w:eastAsia="方正仿宋_GBK" w:cs="Times New Roman"/>
        </w:rPr>
        <w:t>比选人</w:t>
      </w:r>
      <w:r>
        <w:rPr>
          <w:rFonts w:ascii="方正仿宋_GBK" w:hAnsi="方正仿宋_GBK" w:eastAsia="方正仿宋_GBK" w:cs="Times New Roman"/>
        </w:rPr>
        <w:t>造成的损失超过</w:t>
      </w:r>
      <w:r>
        <w:rPr>
          <w:rFonts w:hint="eastAsia" w:ascii="方正仿宋_GBK" w:hAnsi="方正仿宋_GBK" w:eastAsia="方正仿宋_GBK" w:cs="Times New Roman"/>
        </w:rPr>
        <w:t>竞选保证金</w:t>
      </w:r>
      <w:r>
        <w:rPr>
          <w:rFonts w:ascii="方正仿宋_GBK" w:hAnsi="方正仿宋_GBK" w:eastAsia="方正仿宋_GBK" w:cs="Times New Roman"/>
        </w:rPr>
        <w:t>数额的</w:t>
      </w:r>
      <w:r>
        <w:rPr>
          <w:rFonts w:hint="eastAsia" w:ascii="方正仿宋_GBK" w:hAnsi="方正仿宋_GBK" w:eastAsia="方正仿宋_GBK" w:cs="Times New Roman"/>
        </w:rPr>
        <w:t>，成交竞选人</w:t>
      </w:r>
      <w:r>
        <w:rPr>
          <w:rFonts w:ascii="方正仿宋_GBK" w:hAnsi="方正仿宋_GBK" w:eastAsia="方正仿宋_GBK" w:cs="Times New Roman"/>
        </w:rPr>
        <w:t>还应当对超过部分予以赔偿。</w:t>
      </w:r>
    </w:p>
    <w:p w14:paraId="098F7F3A">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7.7.2  发出</w:t>
      </w:r>
      <w:r>
        <w:rPr>
          <w:rFonts w:hint="eastAsia" w:ascii="方正仿宋_GBK" w:hAnsi="方正仿宋_GBK" w:eastAsia="方正仿宋_GBK" w:cs="Times New Roman"/>
        </w:rPr>
        <w:t>成交通知书</w:t>
      </w:r>
      <w:r>
        <w:rPr>
          <w:rFonts w:ascii="方正仿宋_GBK" w:hAnsi="方正仿宋_GBK" w:eastAsia="方正仿宋_GBK" w:cs="Times New Roman"/>
        </w:rPr>
        <w:t>后</w:t>
      </w:r>
      <w:r>
        <w:rPr>
          <w:rFonts w:hint="eastAsia" w:ascii="方正仿宋_GBK" w:hAnsi="方正仿宋_GBK" w:eastAsia="方正仿宋_GBK" w:cs="Times New Roman"/>
        </w:rPr>
        <w:t>，比选人</w:t>
      </w:r>
      <w:r>
        <w:rPr>
          <w:rFonts w:ascii="方正仿宋_GBK" w:hAnsi="方正仿宋_GBK" w:eastAsia="方正仿宋_GBK" w:cs="Times New Roman"/>
        </w:rPr>
        <w:t>无正当理由拒签合同</w:t>
      </w:r>
      <w:r>
        <w:rPr>
          <w:rFonts w:hint="eastAsia" w:ascii="方正仿宋_GBK" w:hAnsi="方正仿宋_GBK" w:eastAsia="方正仿宋_GBK" w:cs="Times New Roman"/>
        </w:rPr>
        <w:t>，</w:t>
      </w:r>
      <w:r>
        <w:rPr>
          <w:rFonts w:ascii="方正仿宋_GBK" w:hAnsi="方正仿宋_GBK" w:eastAsia="方正仿宋_GBK" w:cs="Times New Roman"/>
        </w:rPr>
        <w:t>或者在签订合同时向</w:t>
      </w:r>
      <w:r>
        <w:rPr>
          <w:rFonts w:hint="eastAsia" w:ascii="方正仿宋_GBK" w:hAnsi="方正仿宋_GBK" w:eastAsia="方正仿宋_GBK" w:cs="Times New Roman"/>
        </w:rPr>
        <w:t>成交竞选人</w:t>
      </w:r>
      <w:r>
        <w:rPr>
          <w:rFonts w:ascii="方正仿宋_GBK" w:hAnsi="方正仿宋_GBK" w:eastAsia="方正仿宋_GBK" w:cs="Times New Roman"/>
        </w:rPr>
        <w:t>提出附加条件的</w:t>
      </w:r>
      <w:r>
        <w:rPr>
          <w:rFonts w:hint="eastAsia" w:ascii="方正仿宋_GBK" w:hAnsi="方正仿宋_GBK" w:eastAsia="方正仿宋_GBK" w:cs="Times New Roman"/>
        </w:rPr>
        <w:t>，比选人</w:t>
      </w:r>
      <w:r>
        <w:rPr>
          <w:rFonts w:ascii="方正仿宋_GBK" w:hAnsi="方正仿宋_GBK" w:eastAsia="方正仿宋_GBK" w:cs="Times New Roman"/>
        </w:rPr>
        <w:t>向</w:t>
      </w:r>
      <w:r>
        <w:rPr>
          <w:rFonts w:hint="eastAsia" w:ascii="方正仿宋_GBK" w:hAnsi="方正仿宋_GBK" w:eastAsia="方正仿宋_GBK" w:cs="Times New Roman"/>
        </w:rPr>
        <w:t>成交竞选人</w:t>
      </w:r>
      <w:r>
        <w:rPr>
          <w:rFonts w:ascii="方正仿宋_GBK" w:hAnsi="方正仿宋_GBK" w:eastAsia="方正仿宋_GBK" w:cs="Times New Roman"/>
        </w:rPr>
        <w:t>退还</w:t>
      </w:r>
      <w:r>
        <w:rPr>
          <w:rFonts w:hint="eastAsia" w:ascii="方正仿宋_GBK" w:hAnsi="方正仿宋_GBK" w:eastAsia="方正仿宋_GBK" w:cs="Times New Roman"/>
        </w:rPr>
        <w:t>竞选保证金；</w:t>
      </w:r>
      <w:r>
        <w:rPr>
          <w:rFonts w:ascii="方正仿宋_GBK" w:hAnsi="方正仿宋_GBK" w:eastAsia="方正仿宋_GBK" w:cs="Times New Roman"/>
        </w:rPr>
        <w:t>给</w:t>
      </w:r>
      <w:r>
        <w:rPr>
          <w:rFonts w:hint="eastAsia" w:ascii="方正仿宋_GBK" w:hAnsi="方正仿宋_GBK" w:eastAsia="方正仿宋_GBK" w:cs="Times New Roman"/>
        </w:rPr>
        <w:t>成交竞选人</w:t>
      </w:r>
      <w:r>
        <w:rPr>
          <w:rFonts w:ascii="方正仿宋_GBK" w:hAnsi="方正仿宋_GBK" w:eastAsia="方正仿宋_GBK" w:cs="Times New Roman"/>
        </w:rPr>
        <w:t>造成损失的，还应当赔偿损失</w:t>
      </w:r>
      <w:r>
        <w:rPr>
          <w:rFonts w:hint="eastAsia" w:ascii="方正仿宋_GBK" w:hAnsi="方正仿宋_GBK" w:eastAsia="方正仿宋_GBK" w:cs="Times New Roman"/>
        </w:rPr>
        <w:t>。</w:t>
      </w:r>
    </w:p>
    <w:p w14:paraId="2027A1AC">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7.7.3 </w:t>
      </w:r>
      <w:r>
        <w:rPr>
          <w:rFonts w:hint="eastAsia" w:ascii="方正仿宋_GBK" w:hAnsi="方正仿宋_GBK" w:eastAsia="方正仿宋_GBK" w:cs="Times New Roman"/>
        </w:rPr>
        <w:t xml:space="preserve"> </w:t>
      </w:r>
      <w:r>
        <w:rPr>
          <w:rFonts w:ascii="方正仿宋_GBK" w:hAnsi="方正仿宋_GBK" w:eastAsia="方正仿宋_GBK" w:cs="Times New Roman"/>
        </w:rPr>
        <w:t>联合体中</w:t>
      </w:r>
      <w:r>
        <w:rPr>
          <w:rFonts w:hint="eastAsia" w:ascii="方正仿宋_GBK" w:hAnsi="方正仿宋_GBK" w:eastAsia="方正仿宋_GBK" w:cs="Times New Roman"/>
          <w:lang w:eastAsia="zh-CN"/>
        </w:rPr>
        <w:t>选</w:t>
      </w:r>
      <w:r>
        <w:rPr>
          <w:rFonts w:ascii="方正仿宋_GBK" w:hAnsi="方正仿宋_GBK" w:eastAsia="方正仿宋_GBK" w:cs="Times New Roman"/>
        </w:rPr>
        <w:t>的</w:t>
      </w:r>
      <w:r>
        <w:rPr>
          <w:rFonts w:hint="eastAsia" w:ascii="方正仿宋_GBK" w:hAnsi="方正仿宋_GBK" w:eastAsia="方正仿宋_GBK" w:cs="Times New Roman"/>
        </w:rPr>
        <w:t>，</w:t>
      </w:r>
      <w:r>
        <w:rPr>
          <w:rFonts w:ascii="方正仿宋_GBK" w:hAnsi="方正仿宋_GBK" w:eastAsia="方正仿宋_GBK" w:cs="Times New Roman"/>
        </w:rPr>
        <w:t>联合体各方应当共同与</w:t>
      </w:r>
      <w:r>
        <w:rPr>
          <w:rFonts w:hint="eastAsia" w:ascii="方正仿宋_GBK" w:hAnsi="方正仿宋_GBK" w:eastAsia="方正仿宋_GBK" w:cs="Times New Roman"/>
        </w:rPr>
        <w:t>比选人</w:t>
      </w:r>
      <w:r>
        <w:rPr>
          <w:rFonts w:ascii="方正仿宋_GBK" w:hAnsi="方正仿宋_GBK" w:eastAsia="方正仿宋_GBK" w:cs="Times New Roman"/>
        </w:rPr>
        <w:t>签订合同</w:t>
      </w:r>
      <w:r>
        <w:rPr>
          <w:rFonts w:hint="eastAsia" w:ascii="方正仿宋_GBK" w:hAnsi="方正仿宋_GBK" w:eastAsia="方正仿宋_GBK" w:cs="Times New Roman"/>
        </w:rPr>
        <w:t>，</w:t>
      </w:r>
      <w:r>
        <w:rPr>
          <w:rFonts w:ascii="方正仿宋_GBK" w:hAnsi="方正仿宋_GBK" w:eastAsia="方正仿宋_GBK" w:cs="Times New Roman"/>
        </w:rPr>
        <w:t>就中</w:t>
      </w:r>
      <w:r>
        <w:rPr>
          <w:rFonts w:hint="eastAsia" w:ascii="方正仿宋_GBK" w:hAnsi="方正仿宋_GBK" w:eastAsia="方正仿宋_GBK" w:cs="Times New Roman"/>
          <w:lang w:eastAsia="zh-CN"/>
        </w:rPr>
        <w:t>选</w:t>
      </w:r>
      <w:r>
        <w:rPr>
          <w:rFonts w:ascii="方正仿宋_GBK" w:hAnsi="方正仿宋_GBK" w:eastAsia="方正仿宋_GBK" w:cs="Times New Roman"/>
        </w:rPr>
        <w:t>项目向</w:t>
      </w:r>
      <w:r>
        <w:rPr>
          <w:rFonts w:hint="eastAsia" w:ascii="方正仿宋_GBK" w:hAnsi="方正仿宋_GBK" w:eastAsia="方正仿宋_GBK" w:cs="Times New Roman"/>
        </w:rPr>
        <w:t>比选人</w:t>
      </w:r>
      <w:r>
        <w:rPr>
          <w:rFonts w:ascii="方正仿宋_GBK" w:hAnsi="方正仿宋_GBK" w:eastAsia="方正仿宋_GBK" w:cs="Times New Roman"/>
        </w:rPr>
        <w:t>承担连带责任。</w:t>
      </w:r>
    </w:p>
    <w:p w14:paraId="5003B4C7">
      <w:pPr>
        <w:pStyle w:val="3"/>
        <w:spacing w:before="0" w:after="0" w:line="240" w:lineRule="auto"/>
        <w:ind w:left="105" w:right="105"/>
        <w:contextualSpacing/>
        <w:rPr>
          <w:rFonts w:hint="eastAsia" w:ascii="方正黑体_GBK" w:hAnsi="方正黑体_GBK" w:eastAsia="方正黑体_GBK" w:cs="Times New Roman"/>
          <w:lang w:val="en-US" w:eastAsia="zh-CN"/>
        </w:rPr>
      </w:pPr>
      <w:bookmarkStart w:id="156" w:name="_Toc172188095"/>
      <w:bookmarkStart w:id="157" w:name="_Toc173920600"/>
      <w:r>
        <w:rPr>
          <w:rFonts w:hint="eastAsia" w:ascii="方正黑体_GBK" w:hAnsi="方正黑体_GBK" w:eastAsia="方正黑体_GBK" w:cs="Times New Roman"/>
          <w:lang w:val="en-US" w:eastAsia="zh-CN"/>
        </w:rPr>
        <w:t>8.纪律和监督</w:t>
      </w:r>
      <w:bookmarkEnd w:id="156"/>
      <w:bookmarkEnd w:id="157"/>
    </w:p>
    <w:p w14:paraId="31BEA930">
      <w:pPr>
        <w:ind w:left="105" w:right="105"/>
        <w:contextualSpacing/>
        <w:outlineLvl w:val="2"/>
        <w:rPr>
          <w:rFonts w:ascii="方正仿宋_GBK" w:hAnsi="方正仿宋_GBK" w:eastAsia="方正仿宋_GBK" w:cs="Times New Roman"/>
          <w:sz w:val="28"/>
          <w:szCs w:val="20"/>
        </w:rPr>
      </w:pPr>
      <w:r>
        <w:rPr>
          <w:rFonts w:hint="eastAsia" w:ascii="方正仿宋_GBK" w:hAnsi="方正仿宋_GBK" w:eastAsia="方正仿宋_GBK" w:cs="Times New Roman"/>
          <w:sz w:val="28"/>
          <w:szCs w:val="20"/>
        </w:rPr>
        <w:t>8.1 对比选人的纪律要求</w:t>
      </w:r>
    </w:p>
    <w:p w14:paraId="6B12A0B5">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比选人</w:t>
      </w:r>
      <w:r>
        <w:rPr>
          <w:rFonts w:ascii="方正仿宋_GBK" w:hAnsi="方正仿宋_GBK" w:eastAsia="方正仿宋_GBK" w:cs="Times New Roman"/>
        </w:rPr>
        <w:t>不得泄露比选竞选活动中应当保密的情况和资料</w:t>
      </w:r>
      <w:r>
        <w:rPr>
          <w:rFonts w:hint="eastAsia" w:ascii="方正仿宋_GBK" w:hAnsi="方正仿宋_GBK" w:eastAsia="方正仿宋_GBK" w:cs="Times New Roman"/>
        </w:rPr>
        <w:t>，</w:t>
      </w:r>
      <w:r>
        <w:rPr>
          <w:rFonts w:ascii="方正仿宋_GBK" w:hAnsi="方正仿宋_GBK" w:eastAsia="方正仿宋_GBK" w:cs="Times New Roman"/>
        </w:rPr>
        <w:t>不得与</w:t>
      </w:r>
      <w:r>
        <w:rPr>
          <w:rFonts w:hint="eastAsia" w:ascii="方正仿宋_GBK" w:hAnsi="方正仿宋_GBK" w:eastAsia="方正仿宋_GBK" w:cs="Times New Roman"/>
        </w:rPr>
        <w:t>竞选人</w:t>
      </w:r>
      <w:r>
        <w:rPr>
          <w:rFonts w:ascii="方正仿宋_GBK" w:hAnsi="方正仿宋_GBK" w:eastAsia="方正仿宋_GBK" w:cs="Times New Roman"/>
        </w:rPr>
        <w:t>串通损害国家利益</w:t>
      </w:r>
      <w:r>
        <w:rPr>
          <w:rFonts w:hint="eastAsia" w:ascii="方正仿宋_GBK" w:hAnsi="方正仿宋_GBK" w:eastAsia="方正仿宋_GBK" w:cs="Times New Roman"/>
        </w:rPr>
        <w:t>、</w:t>
      </w:r>
      <w:r>
        <w:rPr>
          <w:rFonts w:ascii="方正仿宋_GBK" w:hAnsi="方正仿宋_GBK" w:eastAsia="方正仿宋_GBK" w:cs="Times New Roman"/>
        </w:rPr>
        <w:t>社会公共利益或者他人合法权益。</w:t>
      </w:r>
    </w:p>
    <w:p w14:paraId="5A48CDA2">
      <w:pPr>
        <w:ind w:left="105" w:right="105"/>
        <w:contextualSpacing/>
        <w:outlineLvl w:val="2"/>
        <w:rPr>
          <w:rFonts w:ascii="方正仿宋_GBK" w:hAnsi="方正仿宋_GBK" w:eastAsia="方正仿宋_GBK" w:cs="Times New Roman"/>
          <w:sz w:val="28"/>
          <w:szCs w:val="20"/>
        </w:rPr>
      </w:pPr>
      <w:r>
        <w:rPr>
          <w:rFonts w:hint="eastAsia" w:ascii="方正仿宋_GBK" w:hAnsi="方正仿宋_GBK" w:eastAsia="方正仿宋_GBK" w:cs="Times New Roman"/>
          <w:sz w:val="28"/>
          <w:szCs w:val="20"/>
        </w:rPr>
        <w:t>8.2 对竞选人的纪律要求</w:t>
      </w:r>
    </w:p>
    <w:p w14:paraId="5A2335B8">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竞选人</w:t>
      </w:r>
      <w:r>
        <w:rPr>
          <w:rFonts w:ascii="方正仿宋_GBK" w:hAnsi="方正仿宋_GBK" w:eastAsia="方正仿宋_GBK" w:cs="Times New Roman"/>
        </w:rPr>
        <w:t>不得相互串通竞选或者与</w:t>
      </w:r>
      <w:r>
        <w:rPr>
          <w:rFonts w:hint="eastAsia" w:ascii="方正仿宋_GBK" w:hAnsi="方正仿宋_GBK" w:eastAsia="方正仿宋_GBK" w:cs="Times New Roman"/>
        </w:rPr>
        <w:t>比选人</w:t>
      </w:r>
      <w:r>
        <w:rPr>
          <w:rFonts w:ascii="方正仿宋_GBK" w:hAnsi="方正仿宋_GBK" w:eastAsia="方正仿宋_GBK" w:cs="Times New Roman"/>
        </w:rPr>
        <w:t>串通竞选</w:t>
      </w:r>
      <w:r>
        <w:rPr>
          <w:rFonts w:hint="eastAsia" w:ascii="方正仿宋_GBK" w:hAnsi="方正仿宋_GBK" w:eastAsia="方正仿宋_GBK" w:cs="Times New Roman"/>
        </w:rPr>
        <w:t>，</w:t>
      </w:r>
      <w:r>
        <w:rPr>
          <w:rFonts w:ascii="方正仿宋_GBK" w:hAnsi="方正仿宋_GBK" w:eastAsia="方正仿宋_GBK" w:cs="Times New Roman"/>
        </w:rPr>
        <w:t>不得向</w:t>
      </w:r>
      <w:r>
        <w:rPr>
          <w:rFonts w:hint="eastAsia" w:ascii="方正仿宋_GBK" w:hAnsi="方正仿宋_GBK" w:eastAsia="方正仿宋_GBK" w:cs="Times New Roman"/>
        </w:rPr>
        <w:t>比选人</w:t>
      </w:r>
      <w:r>
        <w:rPr>
          <w:rFonts w:ascii="方正仿宋_GBK" w:hAnsi="方正仿宋_GBK" w:eastAsia="方正仿宋_GBK" w:cs="Times New Roman"/>
        </w:rPr>
        <w:t>或者</w:t>
      </w:r>
      <w:r>
        <w:rPr>
          <w:rFonts w:hint="eastAsia" w:ascii="方正仿宋_GBK" w:hAnsi="方正仿宋_GBK" w:eastAsia="方正仿宋_GBK" w:cs="Times New Roman"/>
        </w:rPr>
        <w:t>评审小组</w:t>
      </w:r>
      <w:r>
        <w:rPr>
          <w:rFonts w:ascii="方正仿宋_GBK" w:hAnsi="方正仿宋_GBK" w:eastAsia="方正仿宋_GBK" w:cs="Times New Roman"/>
        </w:rPr>
        <w:t>成员行贿谋取中</w:t>
      </w:r>
      <w:r>
        <w:rPr>
          <w:rFonts w:hint="eastAsia" w:ascii="方正仿宋_GBK" w:hAnsi="方正仿宋_GBK" w:eastAsia="方正仿宋_GBK" w:cs="Times New Roman"/>
          <w:lang w:eastAsia="zh-CN"/>
        </w:rPr>
        <w:t>选</w:t>
      </w:r>
      <w:r>
        <w:rPr>
          <w:rFonts w:ascii="方正仿宋_GBK" w:hAnsi="方正仿宋_GBK" w:eastAsia="方正仿宋_GBK" w:cs="Times New Roman"/>
        </w:rPr>
        <w:t>，不得以他人名义竞选或者以其他方式弄虚作假骗取中</w:t>
      </w:r>
      <w:r>
        <w:rPr>
          <w:rFonts w:hint="eastAsia" w:ascii="方正仿宋_GBK" w:hAnsi="方正仿宋_GBK" w:eastAsia="方正仿宋_GBK" w:cs="Times New Roman"/>
        </w:rPr>
        <w:t>选；竞选人</w:t>
      </w:r>
      <w:r>
        <w:rPr>
          <w:rFonts w:ascii="方正仿宋_GBK" w:hAnsi="方正仿宋_GBK" w:eastAsia="方正仿宋_GBK" w:cs="Times New Roman"/>
        </w:rPr>
        <w:t>不得以任何方式干扰、影响</w:t>
      </w:r>
      <w:r>
        <w:rPr>
          <w:rFonts w:hint="eastAsia" w:ascii="方正仿宋_GBK" w:hAnsi="方正仿宋_GBK" w:eastAsia="方正仿宋_GBK" w:cs="Times New Roman"/>
        </w:rPr>
        <w:t>评审</w:t>
      </w:r>
      <w:r>
        <w:rPr>
          <w:rFonts w:ascii="方正仿宋_GBK" w:hAnsi="方正仿宋_GBK" w:eastAsia="方正仿宋_GBK" w:cs="Times New Roman"/>
        </w:rPr>
        <w:t>工作。</w:t>
      </w:r>
    </w:p>
    <w:p w14:paraId="31059010">
      <w:pPr>
        <w:ind w:left="105" w:right="105"/>
        <w:contextualSpacing/>
        <w:outlineLvl w:val="2"/>
        <w:rPr>
          <w:rFonts w:ascii="方正仿宋_GBK" w:hAnsi="方正仿宋_GBK" w:eastAsia="方正仿宋_GBK" w:cs="Times New Roman"/>
          <w:sz w:val="28"/>
          <w:szCs w:val="20"/>
        </w:rPr>
      </w:pPr>
      <w:r>
        <w:rPr>
          <w:rFonts w:hint="eastAsia" w:ascii="方正仿宋_GBK" w:hAnsi="方正仿宋_GBK" w:eastAsia="方正仿宋_GBK" w:cs="Times New Roman"/>
          <w:sz w:val="28"/>
          <w:szCs w:val="20"/>
        </w:rPr>
        <w:t>8.3 对评审小组成员的纪律要求</w:t>
      </w:r>
    </w:p>
    <w:p w14:paraId="5F0C4E52">
      <w:pPr>
        <w:ind w:left="105" w:right="105" w:firstLine="420" w:firstLineChars="200"/>
        <w:contextualSpacing/>
        <w:rPr>
          <w:rFonts w:ascii="方正仿宋_GBK" w:hAnsi="方正仿宋_GBK" w:eastAsia="方正仿宋_GBK" w:cs="Times New Roman"/>
        </w:rPr>
      </w:pPr>
      <w:r>
        <w:rPr>
          <w:rFonts w:hint="eastAsia" w:ascii="方正仿宋_GBK" w:hAnsi="方正仿宋_GBK" w:eastAsia="方正仿宋_GBK" w:cs="Times New Roman"/>
        </w:rPr>
        <w:t>评审小组</w:t>
      </w:r>
      <w:r>
        <w:rPr>
          <w:rFonts w:ascii="方正仿宋_GBK" w:hAnsi="方正仿宋_GBK" w:eastAsia="方正仿宋_GBK" w:cs="Times New Roman"/>
        </w:rPr>
        <w:t>成员不得收受他人的财物或者其他好处，不得向他人透露对</w:t>
      </w:r>
      <w:r>
        <w:rPr>
          <w:rFonts w:hint="eastAsia" w:ascii="方正仿宋_GBK" w:hAnsi="方正仿宋_GBK" w:eastAsia="方正仿宋_GBK" w:cs="Times New Roman"/>
        </w:rPr>
        <w:t>竞选文件</w:t>
      </w:r>
      <w:r>
        <w:rPr>
          <w:rFonts w:ascii="方正仿宋_GBK" w:hAnsi="方正仿宋_GBK" w:eastAsia="方正仿宋_GBK" w:cs="Times New Roman"/>
        </w:rPr>
        <w:t>的评审和比较、</w:t>
      </w:r>
      <w:r>
        <w:rPr>
          <w:rFonts w:hint="eastAsia" w:ascii="方正仿宋_GBK" w:hAnsi="方正仿宋_GBK" w:eastAsia="方正仿宋_GBK" w:cs="Times New Roman"/>
        </w:rPr>
        <w:t>成交竞选人候选人</w:t>
      </w:r>
      <w:r>
        <w:rPr>
          <w:rFonts w:ascii="方正仿宋_GBK" w:hAnsi="方正仿宋_GBK" w:eastAsia="方正仿宋_GBK" w:cs="Times New Roman"/>
        </w:rPr>
        <w:t>的推荐情况以及</w:t>
      </w:r>
      <w:r>
        <w:rPr>
          <w:rFonts w:hint="eastAsia" w:ascii="方正仿宋_GBK" w:hAnsi="方正仿宋_GBK" w:eastAsia="方正仿宋_GBK" w:cs="Times New Roman"/>
        </w:rPr>
        <w:t>评审</w:t>
      </w:r>
      <w:r>
        <w:rPr>
          <w:rFonts w:ascii="方正仿宋_GBK" w:hAnsi="方正仿宋_GBK" w:eastAsia="方正仿宋_GBK" w:cs="Times New Roman"/>
        </w:rPr>
        <w:t>有关的其他情况。在</w:t>
      </w:r>
      <w:r>
        <w:rPr>
          <w:rFonts w:hint="eastAsia" w:ascii="方正仿宋_GBK" w:hAnsi="方正仿宋_GBK" w:eastAsia="方正仿宋_GBK" w:cs="Times New Roman"/>
        </w:rPr>
        <w:t>评审</w:t>
      </w:r>
      <w:r>
        <w:rPr>
          <w:rFonts w:ascii="方正仿宋_GBK" w:hAnsi="方正仿宋_GBK" w:eastAsia="方正仿宋_GBK" w:cs="Times New Roman"/>
        </w:rPr>
        <w:t>活动中，</w:t>
      </w:r>
      <w:r>
        <w:rPr>
          <w:rFonts w:hint="eastAsia" w:ascii="方正仿宋_GBK" w:hAnsi="方正仿宋_GBK" w:eastAsia="方正仿宋_GBK" w:cs="Times New Roman"/>
        </w:rPr>
        <w:t>评审小组</w:t>
      </w:r>
      <w:r>
        <w:rPr>
          <w:rFonts w:ascii="方正仿宋_GBK" w:hAnsi="方正仿宋_GBK" w:eastAsia="方正仿宋_GBK" w:cs="Times New Roman"/>
        </w:rPr>
        <w:t>成员应当客观、公正地履行职责</w:t>
      </w:r>
      <w:r>
        <w:rPr>
          <w:rFonts w:hint="eastAsia" w:ascii="方正仿宋_GBK" w:hAnsi="方正仿宋_GBK" w:eastAsia="方正仿宋_GBK" w:cs="Times New Roman"/>
        </w:rPr>
        <w:t>，</w:t>
      </w:r>
      <w:r>
        <w:rPr>
          <w:rFonts w:ascii="方正仿宋_GBK" w:hAnsi="方正仿宋_GBK" w:eastAsia="方正仿宋_GBK" w:cs="Times New Roman"/>
        </w:rPr>
        <w:t>遵守职业道德，不得擅离职守，影响</w:t>
      </w:r>
      <w:r>
        <w:rPr>
          <w:rFonts w:hint="eastAsia" w:ascii="方正仿宋_GBK" w:hAnsi="方正仿宋_GBK" w:eastAsia="方正仿宋_GBK" w:cs="Times New Roman"/>
        </w:rPr>
        <w:t>评审</w:t>
      </w:r>
      <w:r>
        <w:rPr>
          <w:rFonts w:ascii="方正仿宋_GBK" w:hAnsi="方正仿宋_GBK" w:eastAsia="方正仿宋_GBK" w:cs="Times New Roman"/>
        </w:rPr>
        <w:t>程序正常进行，不得使用第三章“</w:t>
      </w:r>
      <w:r>
        <w:rPr>
          <w:rFonts w:hint="eastAsia" w:ascii="方正仿宋_GBK" w:hAnsi="方正仿宋_GBK" w:eastAsia="方正仿宋_GBK" w:cs="Times New Roman"/>
        </w:rPr>
        <w:t>评审</w:t>
      </w:r>
      <w:r>
        <w:rPr>
          <w:rFonts w:ascii="方正仿宋_GBK" w:hAnsi="方正仿宋_GBK" w:eastAsia="方正仿宋_GBK" w:cs="Times New Roman"/>
        </w:rPr>
        <w:t>办法”没有规定的评审因素和标准进行</w:t>
      </w:r>
      <w:r>
        <w:rPr>
          <w:rFonts w:hint="eastAsia" w:ascii="方正仿宋_GBK" w:hAnsi="方正仿宋_GBK" w:eastAsia="方正仿宋_GBK" w:cs="Times New Roman"/>
        </w:rPr>
        <w:t>评审</w:t>
      </w:r>
      <w:r>
        <w:rPr>
          <w:rFonts w:ascii="方正仿宋_GBK" w:hAnsi="方正仿宋_GBK" w:eastAsia="方正仿宋_GBK" w:cs="Times New Roman"/>
        </w:rPr>
        <w:t>。</w:t>
      </w:r>
    </w:p>
    <w:p w14:paraId="095AD2DD">
      <w:pPr>
        <w:ind w:left="105" w:right="105"/>
        <w:contextualSpacing/>
        <w:outlineLvl w:val="2"/>
        <w:rPr>
          <w:rFonts w:ascii="方正仿宋_GBK" w:hAnsi="方正仿宋_GBK" w:eastAsia="方正仿宋_GBK" w:cs="Times New Roman"/>
          <w:sz w:val="28"/>
          <w:szCs w:val="20"/>
        </w:rPr>
      </w:pPr>
      <w:r>
        <w:rPr>
          <w:rFonts w:hint="eastAsia" w:ascii="方正仿宋_GBK" w:hAnsi="方正仿宋_GBK" w:eastAsia="方正仿宋_GBK" w:cs="Times New Roman"/>
          <w:sz w:val="28"/>
          <w:szCs w:val="20"/>
        </w:rPr>
        <w:t>8.4 对与评审活动有关的工作人员的纪律要求</w:t>
      </w:r>
    </w:p>
    <w:p w14:paraId="08639ABE">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与</w:t>
      </w:r>
      <w:r>
        <w:rPr>
          <w:rFonts w:hint="eastAsia" w:ascii="方正仿宋_GBK" w:hAnsi="方正仿宋_GBK" w:eastAsia="方正仿宋_GBK" w:cs="Times New Roman"/>
        </w:rPr>
        <w:t>评审</w:t>
      </w:r>
      <w:r>
        <w:rPr>
          <w:rFonts w:ascii="方正仿宋_GBK" w:hAnsi="方正仿宋_GBK" w:eastAsia="方正仿宋_GBK" w:cs="Times New Roman"/>
        </w:rPr>
        <w:t>活动有关的工作人员不得收受他人的财物或者其他好处，不得向他人透露对</w:t>
      </w:r>
      <w:r>
        <w:rPr>
          <w:rFonts w:hint="eastAsia" w:ascii="方正仿宋_GBK" w:hAnsi="方正仿宋_GBK" w:eastAsia="方正仿宋_GBK" w:cs="Times New Roman"/>
        </w:rPr>
        <w:t>竞选文件</w:t>
      </w:r>
      <w:r>
        <w:rPr>
          <w:rFonts w:ascii="方正仿宋_GBK" w:hAnsi="方正仿宋_GBK" w:eastAsia="方正仿宋_GBK" w:cs="Times New Roman"/>
        </w:rPr>
        <w:t>的评审和比较、</w:t>
      </w:r>
      <w:r>
        <w:rPr>
          <w:rFonts w:hint="eastAsia" w:ascii="方正仿宋_GBK" w:hAnsi="方正仿宋_GBK" w:eastAsia="方正仿宋_GBK" w:cs="Times New Roman"/>
        </w:rPr>
        <w:t>成交竞选人候选人</w:t>
      </w:r>
      <w:r>
        <w:rPr>
          <w:rFonts w:ascii="方正仿宋_GBK" w:hAnsi="方正仿宋_GBK" w:eastAsia="方正仿宋_GBK" w:cs="Times New Roman"/>
        </w:rPr>
        <w:t>的推荐情况以及</w:t>
      </w:r>
      <w:r>
        <w:rPr>
          <w:rFonts w:hint="eastAsia" w:ascii="方正仿宋_GBK" w:hAnsi="方正仿宋_GBK" w:eastAsia="方正仿宋_GBK" w:cs="Times New Roman"/>
        </w:rPr>
        <w:t>评审</w:t>
      </w:r>
      <w:r>
        <w:rPr>
          <w:rFonts w:ascii="方正仿宋_GBK" w:hAnsi="方正仿宋_GBK" w:eastAsia="方正仿宋_GBK" w:cs="Times New Roman"/>
        </w:rPr>
        <w:t>有关的其他情况。在</w:t>
      </w:r>
      <w:r>
        <w:rPr>
          <w:rFonts w:hint="eastAsia" w:ascii="方正仿宋_GBK" w:hAnsi="方正仿宋_GBK" w:eastAsia="方正仿宋_GBK" w:cs="Times New Roman"/>
        </w:rPr>
        <w:t>评审</w:t>
      </w:r>
      <w:r>
        <w:rPr>
          <w:rFonts w:ascii="方正仿宋_GBK" w:hAnsi="方正仿宋_GBK" w:eastAsia="方正仿宋_GBK" w:cs="Times New Roman"/>
        </w:rPr>
        <w:t>活动中，与</w:t>
      </w:r>
      <w:r>
        <w:rPr>
          <w:rFonts w:hint="eastAsia" w:ascii="方正仿宋_GBK" w:hAnsi="方正仿宋_GBK" w:eastAsia="方正仿宋_GBK" w:cs="Times New Roman"/>
        </w:rPr>
        <w:t>评审</w:t>
      </w:r>
      <w:r>
        <w:rPr>
          <w:rFonts w:ascii="方正仿宋_GBK" w:hAnsi="方正仿宋_GBK" w:eastAsia="方正仿宋_GBK" w:cs="Times New Roman"/>
        </w:rPr>
        <w:t>活动有关的工作人员不得擅离职守，影响</w:t>
      </w:r>
      <w:r>
        <w:rPr>
          <w:rFonts w:hint="eastAsia" w:ascii="方正仿宋_GBK" w:hAnsi="方正仿宋_GBK" w:eastAsia="方正仿宋_GBK" w:cs="Times New Roman"/>
        </w:rPr>
        <w:t>评审</w:t>
      </w:r>
      <w:r>
        <w:rPr>
          <w:rFonts w:ascii="方正仿宋_GBK" w:hAnsi="方正仿宋_GBK" w:eastAsia="方正仿宋_GBK" w:cs="Times New Roman"/>
        </w:rPr>
        <w:t>程序正常进行。</w:t>
      </w:r>
    </w:p>
    <w:p w14:paraId="4E77CB0C">
      <w:pPr>
        <w:ind w:left="105" w:right="105"/>
        <w:contextualSpacing/>
        <w:outlineLvl w:val="2"/>
        <w:rPr>
          <w:rFonts w:ascii="方正仿宋_GBK" w:hAnsi="方正仿宋_GBK" w:eastAsia="方正仿宋_GBK" w:cs="Times New Roman"/>
          <w:sz w:val="28"/>
          <w:szCs w:val="20"/>
        </w:rPr>
      </w:pPr>
      <w:r>
        <w:rPr>
          <w:rFonts w:hint="eastAsia" w:ascii="方正仿宋_GBK" w:hAnsi="方正仿宋_GBK" w:eastAsia="方正仿宋_GBK" w:cs="Times New Roman"/>
          <w:sz w:val="28"/>
          <w:szCs w:val="20"/>
        </w:rPr>
        <w:t>8.5 投诉</w:t>
      </w:r>
    </w:p>
    <w:p w14:paraId="3E2348DB">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8.5.1  </w:t>
      </w:r>
      <w:r>
        <w:rPr>
          <w:rFonts w:hint="eastAsia" w:ascii="方正仿宋_GBK" w:hAnsi="方正仿宋_GBK" w:eastAsia="方正仿宋_GBK" w:cs="Times New Roman"/>
        </w:rPr>
        <w:t>竞选人</w:t>
      </w:r>
      <w:r>
        <w:rPr>
          <w:rFonts w:ascii="方正仿宋_GBK" w:hAnsi="方正仿宋_GBK" w:eastAsia="方正仿宋_GBK" w:cs="Times New Roman"/>
        </w:rPr>
        <w:t>或者其他利害关系人认为比选竞选活动不符合法律、行政法规规定的</w:t>
      </w:r>
      <w:r>
        <w:rPr>
          <w:rFonts w:hint="eastAsia" w:ascii="方正仿宋_GBK" w:hAnsi="方正仿宋_GBK" w:eastAsia="方正仿宋_GBK" w:cs="Times New Roman"/>
        </w:rPr>
        <w:t>，</w:t>
      </w:r>
      <w:r>
        <w:rPr>
          <w:rFonts w:ascii="方正仿宋_GBK" w:hAnsi="方正仿宋_GBK" w:eastAsia="方正仿宋_GBK" w:cs="Times New Roman"/>
        </w:rPr>
        <w:t>可以自知道或者应当知道之日起10日内向有关行政监督部门投诉。投诉应当有明确的请求和必要的证明材料。</w:t>
      </w:r>
    </w:p>
    <w:p w14:paraId="6377DFB5">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 xml:space="preserve">8.5.2  </w:t>
      </w:r>
      <w:r>
        <w:rPr>
          <w:rFonts w:hint="eastAsia" w:ascii="方正仿宋_GBK" w:hAnsi="方正仿宋_GBK" w:eastAsia="方正仿宋_GBK" w:cs="Times New Roman"/>
        </w:rPr>
        <w:t>竞选人</w:t>
      </w:r>
      <w:r>
        <w:rPr>
          <w:rFonts w:ascii="方正仿宋_GBK" w:hAnsi="方正仿宋_GBK" w:eastAsia="方正仿宋_GBK" w:cs="Times New Roman"/>
        </w:rPr>
        <w:t>或者其他利害关系人对</w:t>
      </w:r>
      <w:r>
        <w:rPr>
          <w:rFonts w:hint="eastAsia" w:ascii="方正仿宋_GBK" w:hAnsi="方正仿宋_GBK" w:eastAsia="方正仿宋_GBK" w:cs="Times New Roman"/>
        </w:rPr>
        <w:t>比选文件</w:t>
      </w:r>
      <w:r>
        <w:rPr>
          <w:rFonts w:ascii="方正仿宋_GBK" w:hAnsi="方正仿宋_GBK" w:eastAsia="方正仿宋_GBK" w:cs="Times New Roman"/>
        </w:rPr>
        <w:t>、比选和</w:t>
      </w:r>
      <w:r>
        <w:rPr>
          <w:rFonts w:hint="eastAsia" w:ascii="方正仿宋_GBK" w:hAnsi="方正仿宋_GBK" w:eastAsia="方正仿宋_GBK" w:cs="Times New Roman"/>
        </w:rPr>
        <w:t>评审</w:t>
      </w:r>
      <w:r>
        <w:rPr>
          <w:rFonts w:ascii="方正仿宋_GBK" w:hAnsi="方正仿宋_GBK" w:eastAsia="方正仿宋_GBK" w:cs="Times New Roman"/>
        </w:rPr>
        <w:t>结果提出投诉的</w:t>
      </w:r>
      <w:r>
        <w:rPr>
          <w:rFonts w:hint="eastAsia" w:ascii="方正仿宋_GBK" w:hAnsi="方正仿宋_GBK" w:eastAsia="方正仿宋_GBK" w:cs="Times New Roman"/>
        </w:rPr>
        <w:t>，</w:t>
      </w:r>
      <w:r>
        <w:rPr>
          <w:rFonts w:ascii="方正仿宋_GBK" w:hAnsi="方正仿宋_GBK" w:eastAsia="方正仿宋_GBK" w:cs="Times New Roman"/>
        </w:rPr>
        <w:t>应当按照</w:t>
      </w:r>
      <w:r>
        <w:rPr>
          <w:rFonts w:hint="eastAsia" w:ascii="方正仿宋_GBK" w:hAnsi="方正仿宋_GBK" w:eastAsia="方正仿宋_GBK" w:cs="Times New Roman"/>
        </w:rPr>
        <w:t>竞选人</w:t>
      </w:r>
      <w:r>
        <w:rPr>
          <w:rFonts w:ascii="方正仿宋_GBK" w:hAnsi="方正仿宋_GBK" w:eastAsia="方正仿宋_GBK" w:cs="Times New Roman"/>
        </w:rPr>
        <w:t>须知的规定先向</w:t>
      </w:r>
      <w:r>
        <w:rPr>
          <w:rFonts w:hint="eastAsia" w:ascii="方正仿宋_GBK" w:hAnsi="方正仿宋_GBK" w:eastAsia="方正仿宋_GBK" w:cs="Times New Roman"/>
        </w:rPr>
        <w:t>比选人</w:t>
      </w:r>
      <w:r>
        <w:rPr>
          <w:rFonts w:ascii="方正仿宋_GBK" w:hAnsi="方正仿宋_GBK" w:eastAsia="方正仿宋_GBK" w:cs="Times New Roman"/>
        </w:rPr>
        <w:t>提出异议。异议答复期间不计算在第8.5.1项规定的期限内。</w:t>
      </w:r>
    </w:p>
    <w:p w14:paraId="77E9539C">
      <w:pPr>
        <w:pStyle w:val="3"/>
        <w:spacing w:before="0" w:after="0" w:line="240" w:lineRule="auto"/>
        <w:ind w:left="105" w:right="105"/>
        <w:contextualSpacing/>
        <w:rPr>
          <w:rFonts w:hint="eastAsia" w:ascii="方正黑体_GBK" w:hAnsi="方正黑体_GBK" w:eastAsia="方正黑体_GBK" w:cs="Times New Roman"/>
          <w:lang w:val="en-US" w:eastAsia="zh-CN"/>
        </w:rPr>
      </w:pPr>
      <w:bookmarkStart w:id="158" w:name="_Toc173920601"/>
      <w:bookmarkStart w:id="159" w:name="_Toc172188096"/>
      <w:r>
        <w:rPr>
          <w:rFonts w:hint="eastAsia" w:ascii="方正黑体_GBK" w:hAnsi="方正黑体_GBK" w:eastAsia="方正黑体_GBK" w:cs="Times New Roman"/>
          <w:lang w:val="en-US" w:eastAsia="zh-CN"/>
        </w:rPr>
        <w:t>9.交易相关费用</w:t>
      </w:r>
      <w:bookmarkEnd w:id="158"/>
      <w:bookmarkEnd w:id="159"/>
    </w:p>
    <w:p w14:paraId="60518062">
      <w:pPr>
        <w:ind w:left="105" w:right="105" w:firstLine="420" w:firstLineChars="200"/>
        <w:contextualSpacing/>
        <w:rPr>
          <w:rFonts w:ascii="方正仿宋_GBK" w:hAnsi="方正仿宋_GBK" w:eastAsia="方正仿宋_GBK"/>
        </w:rPr>
      </w:pPr>
      <w:r>
        <w:rPr>
          <w:rFonts w:hint="eastAsia" w:ascii="方正仿宋_GBK" w:hAnsi="方正仿宋_GBK" w:eastAsia="方正仿宋_GBK" w:cs="Times New Roman"/>
        </w:rPr>
        <w:t>交易相关费用：</w:t>
      </w:r>
      <w:r>
        <w:rPr>
          <w:rFonts w:ascii="方正仿宋_GBK" w:hAnsi="方正仿宋_GBK" w:eastAsia="方正仿宋_GBK" w:cs="Times New Roman"/>
        </w:rPr>
        <w:t>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34EA74B5">
      <w:pPr>
        <w:pStyle w:val="3"/>
        <w:spacing w:before="0" w:after="0" w:line="240" w:lineRule="auto"/>
        <w:ind w:left="105" w:right="105"/>
        <w:contextualSpacing/>
        <w:rPr>
          <w:rFonts w:hint="eastAsia" w:ascii="方正黑体_GBK" w:hAnsi="方正黑体_GBK" w:eastAsia="方正黑体_GBK" w:cs="Times New Roman"/>
          <w:lang w:val="en-US" w:eastAsia="zh-CN"/>
        </w:rPr>
      </w:pPr>
      <w:bookmarkStart w:id="160" w:name="_Toc173920602"/>
      <w:bookmarkStart w:id="161" w:name="_Toc172188097"/>
      <w:r>
        <w:rPr>
          <w:rFonts w:hint="eastAsia" w:ascii="方正黑体_GBK" w:hAnsi="方正黑体_GBK" w:eastAsia="方正黑体_GBK" w:cs="Times New Roman"/>
          <w:lang w:val="en-US" w:eastAsia="zh-CN"/>
        </w:rPr>
        <w:t>10.需要补充的其他内容</w:t>
      </w:r>
      <w:bookmarkEnd w:id="160"/>
      <w:bookmarkEnd w:id="161"/>
    </w:p>
    <w:p w14:paraId="68860174">
      <w:pPr>
        <w:ind w:left="105" w:right="105" w:firstLine="420" w:firstLineChars="200"/>
        <w:contextualSpacing/>
        <w:rPr>
          <w:rFonts w:ascii="方正仿宋_GBK" w:hAnsi="方正仿宋_GBK" w:eastAsia="方正仿宋_GBK" w:cs="Times New Roman"/>
        </w:rPr>
      </w:pPr>
      <w:r>
        <w:rPr>
          <w:rFonts w:ascii="方正仿宋_GBK" w:hAnsi="方正仿宋_GBK" w:eastAsia="方正仿宋_GBK" w:cs="Times New Roman"/>
        </w:rPr>
        <w:t>需要补充的其他内容：见</w:t>
      </w:r>
      <w:r>
        <w:rPr>
          <w:rFonts w:hint="eastAsia" w:ascii="方正仿宋_GBK" w:hAnsi="方正仿宋_GBK" w:eastAsia="方正仿宋_GBK" w:cs="Times New Roman"/>
        </w:rPr>
        <w:t>竞选人</w:t>
      </w:r>
      <w:r>
        <w:rPr>
          <w:rFonts w:ascii="方正仿宋_GBK" w:hAnsi="方正仿宋_GBK" w:eastAsia="方正仿宋_GBK" w:cs="Times New Roman"/>
        </w:rPr>
        <w:t>须知前附表。</w:t>
      </w:r>
    </w:p>
    <w:p w14:paraId="64A5D4F2">
      <w:pPr>
        <w:ind w:left="105" w:right="105" w:firstLine="420" w:firstLineChars="200"/>
        <w:contextualSpacing/>
        <w:rPr>
          <w:rFonts w:ascii="方正仿宋_GBK" w:hAnsi="方正仿宋_GBK" w:eastAsia="方正仿宋_GBK" w:cs="Times New Roman"/>
        </w:rPr>
      </w:pPr>
    </w:p>
    <w:p w14:paraId="678D5229">
      <w:pPr>
        <w:ind w:left="105" w:right="105" w:firstLine="420" w:firstLineChars="200"/>
        <w:contextualSpacing/>
        <w:rPr>
          <w:rFonts w:ascii="方正仿宋_GBK" w:hAnsi="方正仿宋_GBK" w:eastAsia="方正仿宋_GBK" w:cs="Times New Roman"/>
        </w:rPr>
      </w:pPr>
    </w:p>
    <w:p w14:paraId="7F439F37">
      <w:pPr>
        <w:ind w:left="105" w:right="105" w:firstLine="420" w:firstLineChars="200"/>
        <w:contextualSpacing/>
        <w:rPr>
          <w:rFonts w:ascii="方正仿宋_GBK" w:hAnsi="方正仿宋_GBK" w:eastAsia="方正仿宋_GBK" w:cs="Times New Roman"/>
        </w:rPr>
      </w:pPr>
    </w:p>
    <w:p w14:paraId="06565A4D">
      <w:pPr>
        <w:ind w:left="105" w:right="105" w:firstLine="420" w:firstLineChars="200"/>
        <w:contextualSpacing/>
        <w:rPr>
          <w:rFonts w:ascii="方正仿宋_GBK" w:hAnsi="方正仿宋_GBK" w:eastAsia="方正仿宋_GBK" w:cs="Times New Roman"/>
        </w:rPr>
      </w:pPr>
    </w:p>
    <w:p w14:paraId="0402F6A5">
      <w:pPr>
        <w:ind w:left="105" w:right="105" w:firstLine="420" w:firstLineChars="200"/>
        <w:contextualSpacing/>
        <w:rPr>
          <w:rFonts w:ascii="方正仿宋_GBK" w:hAnsi="方正仿宋_GBK" w:eastAsia="方正仿宋_GBK" w:cs="Times New Roman"/>
        </w:rPr>
      </w:pPr>
    </w:p>
    <w:p w14:paraId="37B04A88">
      <w:pPr>
        <w:ind w:left="105" w:right="105" w:firstLine="420" w:firstLineChars="200"/>
        <w:contextualSpacing/>
        <w:rPr>
          <w:rFonts w:ascii="方正仿宋_GBK" w:hAnsi="方正仿宋_GBK" w:eastAsia="方正仿宋_GBK" w:cs="Times New Roman"/>
        </w:rPr>
      </w:pPr>
    </w:p>
    <w:p w14:paraId="68DFEB80">
      <w:pPr>
        <w:ind w:left="105" w:right="105" w:firstLine="420" w:firstLineChars="200"/>
        <w:contextualSpacing/>
        <w:rPr>
          <w:rFonts w:ascii="方正仿宋_GBK" w:hAnsi="方正仿宋_GBK" w:eastAsia="方正仿宋_GBK" w:cs="Times New Roman"/>
        </w:rPr>
      </w:pPr>
    </w:p>
    <w:p w14:paraId="78014FE7">
      <w:pPr>
        <w:ind w:left="105" w:right="105" w:firstLine="420" w:firstLineChars="200"/>
        <w:contextualSpacing/>
        <w:rPr>
          <w:rFonts w:ascii="方正仿宋_GBK" w:hAnsi="方正仿宋_GBK" w:eastAsia="方正仿宋_GBK" w:cs="Times New Roman"/>
        </w:rPr>
      </w:pPr>
    </w:p>
    <w:p w14:paraId="2B7CE284">
      <w:pPr>
        <w:ind w:left="105" w:right="105" w:firstLine="420" w:firstLineChars="200"/>
        <w:contextualSpacing/>
        <w:rPr>
          <w:rFonts w:ascii="方正仿宋_GBK" w:hAnsi="方正仿宋_GBK" w:eastAsia="方正仿宋_GBK" w:cs="Times New Roman"/>
        </w:rPr>
      </w:pPr>
    </w:p>
    <w:p w14:paraId="601EB628">
      <w:pPr>
        <w:ind w:left="105" w:right="105" w:firstLine="420" w:firstLineChars="200"/>
        <w:contextualSpacing/>
        <w:rPr>
          <w:rFonts w:ascii="方正仿宋_GBK" w:hAnsi="方正仿宋_GBK" w:eastAsia="方正仿宋_GBK" w:cs="Times New Roman"/>
        </w:rPr>
      </w:pPr>
    </w:p>
    <w:p w14:paraId="6624BE67">
      <w:pPr>
        <w:ind w:left="105" w:right="105" w:firstLine="420" w:firstLineChars="200"/>
        <w:contextualSpacing/>
        <w:rPr>
          <w:rFonts w:ascii="方正仿宋_GBK" w:hAnsi="方正仿宋_GBK" w:eastAsia="方正仿宋_GBK" w:cs="Times New Roman"/>
        </w:rPr>
      </w:pPr>
    </w:p>
    <w:p w14:paraId="5AF198DA">
      <w:pPr>
        <w:ind w:left="105" w:right="105" w:firstLine="420" w:firstLineChars="200"/>
        <w:contextualSpacing/>
        <w:rPr>
          <w:rFonts w:ascii="方正仿宋_GBK" w:hAnsi="方正仿宋_GBK" w:eastAsia="方正仿宋_GBK" w:cs="Times New Roman"/>
        </w:rPr>
      </w:pPr>
    </w:p>
    <w:p w14:paraId="548EE5FF">
      <w:pPr>
        <w:ind w:left="105" w:right="105" w:firstLine="420" w:firstLineChars="200"/>
        <w:contextualSpacing/>
        <w:rPr>
          <w:rFonts w:ascii="方正仿宋_GBK" w:hAnsi="方正仿宋_GBK" w:eastAsia="方正仿宋_GBK" w:cs="Times New Roman"/>
        </w:rPr>
      </w:pPr>
    </w:p>
    <w:p w14:paraId="15578105">
      <w:pPr>
        <w:ind w:left="105" w:right="105" w:firstLine="420" w:firstLineChars="200"/>
        <w:contextualSpacing/>
        <w:rPr>
          <w:rFonts w:ascii="方正仿宋_GBK" w:hAnsi="方正仿宋_GBK" w:eastAsia="方正仿宋_GBK" w:cs="Times New Roman"/>
        </w:rPr>
      </w:pPr>
    </w:p>
    <w:p w14:paraId="6370D4C4">
      <w:pPr>
        <w:ind w:left="105" w:right="105" w:firstLine="420" w:firstLineChars="200"/>
        <w:contextualSpacing/>
        <w:rPr>
          <w:rFonts w:ascii="方正仿宋_GBK" w:hAnsi="方正仿宋_GBK" w:eastAsia="方正仿宋_GBK" w:cs="Times New Roman"/>
        </w:rPr>
      </w:pPr>
    </w:p>
    <w:p w14:paraId="57139552">
      <w:pPr>
        <w:ind w:left="105" w:right="105" w:firstLine="420" w:firstLineChars="200"/>
        <w:contextualSpacing/>
        <w:rPr>
          <w:rFonts w:ascii="方正仿宋_GBK" w:hAnsi="方正仿宋_GBK" w:eastAsia="方正仿宋_GBK" w:cs="Times New Roman"/>
        </w:rPr>
      </w:pPr>
    </w:p>
    <w:p w14:paraId="412D0E0B">
      <w:pPr>
        <w:ind w:right="105"/>
        <w:contextualSpacing/>
        <w:rPr>
          <w:rFonts w:ascii="方正仿宋_GBK" w:hAnsi="方正仿宋_GBK" w:eastAsia="方正仿宋_GBK" w:cs="Times New Roman"/>
        </w:rPr>
      </w:pPr>
    </w:p>
    <w:bookmarkEnd w:id="68"/>
    <w:bookmarkEnd w:id="69"/>
    <w:bookmarkEnd w:id="70"/>
    <w:p w14:paraId="4F59D63A">
      <w:pPr>
        <w:pStyle w:val="4"/>
        <w:spacing w:before="0" w:after="0" w:line="240" w:lineRule="auto"/>
        <w:ind w:left="105" w:right="105" w:firstLine="210" w:firstLineChars="100"/>
        <w:outlineLvl w:val="0"/>
        <w:rPr>
          <w:rFonts w:ascii="方正仿宋_GBK" w:hAnsi="方正仿宋_GBK" w:eastAsia="方正仿宋_GBK"/>
          <w:sz w:val="21"/>
          <w:szCs w:val="21"/>
        </w:rPr>
      </w:pPr>
      <w:bookmarkStart w:id="162" w:name="_Toc172188098"/>
      <w:bookmarkStart w:id="163" w:name="_Toc4041"/>
    </w:p>
    <w:p w14:paraId="467343A5">
      <w:pPr>
        <w:pStyle w:val="4"/>
        <w:spacing w:before="0" w:after="0" w:line="240" w:lineRule="auto"/>
        <w:ind w:left="105" w:right="105" w:firstLine="210" w:firstLineChars="100"/>
        <w:outlineLvl w:val="0"/>
        <w:rPr>
          <w:rFonts w:ascii="方正仿宋_GBK" w:hAnsi="方正仿宋_GBK" w:eastAsia="方正仿宋_GBK"/>
          <w:sz w:val="21"/>
          <w:szCs w:val="21"/>
        </w:rPr>
      </w:pPr>
      <w:r>
        <w:rPr>
          <w:rFonts w:ascii="方正仿宋_GBK" w:hAnsi="方正仿宋_GBK" w:eastAsia="方正仿宋_GBK"/>
          <w:sz w:val="21"/>
          <w:szCs w:val="21"/>
        </w:rPr>
        <w:t>附件一：</w:t>
      </w:r>
      <w:r>
        <w:rPr>
          <w:rFonts w:hint="eastAsia" w:ascii="方正仿宋_GBK" w:hAnsi="方正仿宋_GBK" w:eastAsia="方正仿宋_GBK"/>
          <w:sz w:val="21"/>
          <w:szCs w:val="21"/>
        </w:rPr>
        <w:t>比选</w:t>
      </w:r>
      <w:r>
        <w:rPr>
          <w:rFonts w:ascii="方正仿宋_GBK" w:hAnsi="方正仿宋_GBK" w:eastAsia="方正仿宋_GBK"/>
          <w:sz w:val="21"/>
          <w:szCs w:val="21"/>
        </w:rPr>
        <w:t>记录表</w:t>
      </w:r>
      <w:bookmarkEnd w:id="162"/>
      <w:bookmarkEnd w:id="163"/>
    </w:p>
    <w:p w14:paraId="45717B92">
      <w:pPr>
        <w:ind w:left="105" w:right="105"/>
        <w:jc w:val="center"/>
        <w:rPr>
          <w:rFonts w:ascii="方正仿宋_GBK" w:hAnsi="方正仿宋_GBK" w:eastAsia="方正仿宋_GBK"/>
          <w:sz w:val="28"/>
        </w:rPr>
      </w:pPr>
      <w:r>
        <w:rPr>
          <w:rFonts w:hint="eastAsia" w:ascii="方正仿宋_GBK" w:hAnsi="方正仿宋_GBK" w:eastAsia="方正仿宋_GBK"/>
          <w:sz w:val="28"/>
          <w:u w:val="single"/>
        </w:rPr>
        <w:t xml:space="preserve">          （项目名称）</w:t>
      </w:r>
      <w:r>
        <w:rPr>
          <w:rFonts w:hint="eastAsia" w:ascii="方正仿宋_GBK" w:hAnsi="方正仿宋_GBK" w:eastAsia="方正仿宋_GBK"/>
          <w:sz w:val="28"/>
        </w:rPr>
        <w:t>比选</w:t>
      </w:r>
      <w:r>
        <w:rPr>
          <w:rFonts w:ascii="方正仿宋_GBK" w:hAnsi="方正仿宋_GBK" w:eastAsia="方正仿宋_GBK"/>
          <w:sz w:val="28"/>
        </w:rPr>
        <w:t>记录表</w:t>
      </w:r>
    </w:p>
    <w:p w14:paraId="62E973EB">
      <w:pPr>
        <w:spacing w:beforeLines="50" w:afterLines="50"/>
        <w:ind w:left="105" w:right="105"/>
        <w:jc w:val="center"/>
        <w:rPr>
          <w:rFonts w:ascii="方正仿宋_GBK" w:hAnsi="方正仿宋_GBK" w:eastAsia="方正仿宋_GBK"/>
        </w:rPr>
      </w:pPr>
      <w:r>
        <w:rPr>
          <w:rFonts w:hint="eastAsia" w:ascii="方正仿宋_GBK" w:hAnsi="方正仿宋_GBK" w:eastAsia="方正仿宋_GBK"/>
        </w:rPr>
        <w:t>比选</w:t>
      </w:r>
      <w:r>
        <w:rPr>
          <w:rFonts w:ascii="方正仿宋_GBK" w:hAnsi="方正仿宋_GBK" w:eastAsia="方正仿宋_GBK"/>
        </w:rPr>
        <w:t>时间</w:t>
      </w:r>
      <w:r>
        <w:rPr>
          <w:rFonts w:hint="eastAsia" w:ascii="方正仿宋_GBK" w:hAnsi="方正仿宋_GBK" w:eastAsia="方正仿宋_GBK"/>
        </w:rPr>
        <w:t>：</w:t>
      </w:r>
      <w:r>
        <w:rPr>
          <w:rFonts w:hint="eastAsia" w:ascii="方正仿宋_GBK" w:hAnsi="方正仿宋_GBK" w:eastAsia="方正仿宋_GBK"/>
          <w:u w:val="single"/>
        </w:rPr>
        <w:t xml:space="preserve">   </w:t>
      </w:r>
      <w:r>
        <w:rPr>
          <w:rFonts w:ascii="方正仿宋_GBK" w:hAnsi="方正仿宋_GBK" w:eastAsia="方正仿宋_GBK"/>
        </w:rPr>
        <w:t>年</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月</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日</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时</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分</w:t>
      </w:r>
    </w:p>
    <w:tbl>
      <w:tblPr>
        <w:tblStyle w:val="15"/>
        <w:tblW w:w="8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529"/>
        <w:gridCol w:w="882"/>
        <w:gridCol w:w="1695"/>
        <w:gridCol w:w="1117"/>
        <w:gridCol w:w="1979"/>
      </w:tblGrid>
      <w:tr w14:paraId="4E0F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center"/>
          </w:tcPr>
          <w:p w14:paraId="19F44380">
            <w:pPr>
              <w:ind w:left="105" w:right="105"/>
              <w:jc w:val="center"/>
              <w:rPr>
                <w:rFonts w:ascii="方正仿宋_GBK" w:hAnsi="方正仿宋_GBK" w:eastAsia="方正仿宋_GBK"/>
              </w:rPr>
            </w:pPr>
            <w:r>
              <w:rPr>
                <w:rFonts w:hint="eastAsia" w:ascii="方正仿宋_GBK" w:hAnsi="方正仿宋_GBK" w:eastAsia="方正仿宋_GBK"/>
              </w:rPr>
              <w:t>序号</w:t>
            </w:r>
          </w:p>
        </w:tc>
        <w:tc>
          <w:tcPr>
            <w:tcW w:w="3411" w:type="dxa"/>
            <w:gridSpan w:val="2"/>
            <w:vAlign w:val="center"/>
          </w:tcPr>
          <w:p w14:paraId="2405B51F">
            <w:pPr>
              <w:ind w:left="105" w:right="105"/>
              <w:jc w:val="center"/>
              <w:rPr>
                <w:rFonts w:ascii="方正仿宋_GBK" w:hAnsi="方正仿宋_GBK" w:eastAsia="方正仿宋_GBK"/>
              </w:rPr>
            </w:pPr>
            <w:r>
              <w:rPr>
                <w:rFonts w:hint="eastAsia" w:ascii="方正仿宋_GBK" w:hAnsi="方正仿宋_GBK" w:eastAsia="方正仿宋_GBK"/>
              </w:rPr>
              <w:t>竞选人</w:t>
            </w:r>
          </w:p>
        </w:tc>
        <w:tc>
          <w:tcPr>
            <w:tcW w:w="1695" w:type="dxa"/>
            <w:vAlign w:val="center"/>
          </w:tcPr>
          <w:p w14:paraId="478BC7B2">
            <w:pPr>
              <w:ind w:left="105" w:right="105"/>
              <w:jc w:val="center"/>
              <w:rPr>
                <w:rFonts w:ascii="方正仿宋_GBK" w:hAnsi="方正仿宋_GBK" w:eastAsia="方正仿宋_GBK"/>
              </w:rPr>
            </w:pPr>
            <w:r>
              <w:rPr>
                <w:rFonts w:hint="eastAsia" w:ascii="方正仿宋_GBK" w:hAnsi="方正仿宋_GBK" w:eastAsia="方正仿宋_GBK"/>
              </w:rPr>
              <w:t>报价</w:t>
            </w:r>
          </w:p>
          <w:p w14:paraId="3C33644F">
            <w:pPr>
              <w:ind w:left="105" w:right="105"/>
              <w:jc w:val="center"/>
              <w:rPr>
                <w:rFonts w:ascii="方正仿宋_GBK" w:hAnsi="方正仿宋_GBK" w:eastAsia="方正仿宋_GBK"/>
              </w:rPr>
            </w:pPr>
            <w:r>
              <w:rPr>
                <w:rFonts w:hint="eastAsia" w:ascii="方正仿宋_GBK" w:hAnsi="方正仿宋_GBK" w:eastAsia="方正仿宋_GBK"/>
              </w:rPr>
              <w:t>（元）</w:t>
            </w:r>
          </w:p>
        </w:tc>
        <w:tc>
          <w:tcPr>
            <w:tcW w:w="1117" w:type="dxa"/>
            <w:vAlign w:val="center"/>
          </w:tcPr>
          <w:p w14:paraId="66B2E6D1">
            <w:pPr>
              <w:ind w:left="105" w:right="105"/>
              <w:jc w:val="center"/>
              <w:rPr>
                <w:rFonts w:ascii="方正仿宋_GBK" w:hAnsi="方正仿宋_GBK" w:eastAsia="方正仿宋_GBK"/>
              </w:rPr>
            </w:pPr>
            <w:r>
              <w:rPr>
                <w:rFonts w:hint="eastAsia" w:ascii="方正仿宋_GBK" w:hAnsi="方正仿宋_GBK" w:eastAsia="方正仿宋_GBK"/>
              </w:rPr>
              <w:t>备注</w:t>
            </w:r>
          </w:p>
        </w:tc>
        <w:tc>
          <w:tcPr>
            <w:tcW w:w="1979" w:type="dxa"/>
            <w:vAlign w:val="center"/>
          </w:tcPr>
          <w:p w14:paraId="185BF869">
            <w:pPr>
              <w:ind w:left="105" w:right="105"/>
              <w:jc w:val="center"/>
              <w:rPr>
                <w:rFonts w:ascii="方正仿宋_GBK" w:hAnsi="方正仿宋_GBK" w:eastAsia="方正仿宋_GBK"/>
              </w:rPr>
            </w:pPr>
            <w:r>
              <w:rPr>
                <w:rFonts w:hint="eastAsia" w:ascii="方正仿宋_GBK" w:hAnsi="方正仿宋_GBK" w:eastAsia="方正仿宋_GBK"/>
              </w:rPr>
              <w:t>竞选人代表签名</w:t>
            </w:r>
          </w:p>
        </w:tc>
      </w:tr>
      <w:tr w14:paraId="4282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85CCC9C">
            <w:pPr>
              <w:ind w:left="105" w:right="105"/>
              <w:rPr>
                <w:rFonts w:ascii="方正仿宋_GBK" w:hAnsi="方正仿宋_GBK" w:eastAsia="方正仿宋_GBK"/>
              </w:rPr>
            </w:pPr>
          </w:p>
        </w:tc>
        <w:tc>
          <w:tcPr>
            <w:tcW w:w="3411" w:type="dxa"/>
            <w:gridSpan w:val="2"/>
          </w:tcPr>
          <w:p w14:paraId="6F01ECAD">
            <w:pPr>
              <w:ind w:left="105" w:right="105"/>
              <w:jc w:val="center"/>
              <w:rPr>
                <w:rFonts w:ascii="方正仿宋_GBK" w:hAnsi="方正仿宋_GBK" w:eastAsia="方正仿宋_GBK"/>
              </w:rPr>
            </w:pPr>
          </w:p>
        </w:tc>
        <w:tc>
          <w:tcPr>
            <w:tcW w:w="1695" w:type="dxa"/>
          </w:tcPr>
          <w:p w14:paraId="1E2E2224">
            <w:pPr>
              <w:ind w:left="105" w:right="105"/>
              <w:rPr>
                <w:rFonts w:ascii="方正仿宋_GBK" w:hAnsi="方正仿宋_GBK" w:eastAsia="方正仿宋_GBK"/>
              </w:rPr>
            </w:pPr>
          </w:p>
        </w:tc>
        <w:tc>
          <w:tcPr>
            <w:tcW w:w="1117" w:type="dxa"/>
          </w:tcPr>
          <w:p w14:paraId="6D799F51">
            <w:pPr>
              <w:ind w:left="105" w:right="105"/>
              <w:rPr>
                <w:rFonts w:ascii="方正仿宋_GBK" w:hAnsi="方正仿宋_GBK" w:eastAsia="方正仿宋_GBK"/>
              </w:rPr>
            </w:pPr>
          </w:p>
        </w:tc>
        <w:tc>
          <w:tcPr>
            <w:tcW w:w="1979" w:type="dxa"/>
          </w:tcPr>
          <w:p w14:paraId="05D9816F">
            <w:pPr>
              <w:ind w:left="105" w:right="105"/>
              <w:rPr>
                <w:rFonts w:ascii="方正仿宋_GBK" w:hAnsi="方正仿宋_GBK" w:eastAsia="方正仿宋_GBK"/>
              </w:rPr>
            </w:pPr>
          </w:p>
        </w:tc>
      </w:tr>
      <w:tr w14:paraId="259C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6BB6B0F5">
            <w:pPr>
              <w:ind w:left="105" w:right="105"/>
              <w:rPr>
                <w:rFonts w:ascii="方正仿宋_GBK" w:hAnsi="方正仿宋_GBK" w:eastAsia="方正仿宋_GBK"/>
              </w:rPr>
            </w:pPr>
          </w:p>
        </w:tc>
        <w:tc>
          <w:tcPr>
            <w:tcW w:w="3411" w:type="dxa"/>
            <w:gridSpan w:val="2"/>
          </w:tcPr>
          <w:p w14:paraId="5CD4EEFF">
            <w:pPr>
              <w:ind w:left="105" w:right="105"/>
              <w:rPr>
                <w:rFonts w:ascii="方正仿宋_GBK" w:hAnsi="方正仿宋_GBK" w:eastAsia="方正仿宋_GBK"/>
              </w:rPr>
            </w:pPr>
          </w:p>
        </w:tc>
        <w:tc>
          <w:tcPr>
            <w:tcW w:w="1695" w:type="dxa"/>
          </w:tcPr>
          <w:p w14:paraId="17344128">
            <w:pPr>
              <w:ind w:left="105" w:right="105"/>
              <w:rPr>
                <w:rFonts w:ascii="方正仿宋_GBK" w:hAnsi="方正仿宋_GBK" w:eastAsia="方正仿宋_GBK"/>
              </w:rPr>
            </w:pPr>
          </w:p>
        </w:tc>
        <w:tc>
          <w:tcPr>
            <w:tcW w:w="1117" w:type="dxa"/>
          </w:tcPr>
          <w:p w14:paraId="21B41F91">
            <w:pPr>
              <w:ind w:left="105" w:right="105"/>
              <w:rPr>
                <w:rFonts w:ascii="方正仿宋_GBK" w:hAnsi="方正仿宋_GBK" w:eastAsia="方正仿宋_GBK"/>
              </w:rPr>
            </w:pPr>
          </w:p>
        </w:tc>
        <w:tc>
          <w:tcPr>
            <w:tcW w:w="1979" w:type="dxa"/>
          </w:tcPr>
          <w:p w14:paraId="2EC08B5F">
            <w:pPr>
              <w:ind w:left="105" w:right="105"/>
              <w:rPr>
                <w:rFonts w:ascii="方正仿宋_GBK" w:hAnsi="方正仿宋_GBK" w:eastAsia="方正仿宋_GBK"/>
              </w:rPr>
            </w:pPr>
          </w:p>
        </w:tc>
      </w:tr>
      <w:tr w14:paraId="5782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2EFC071">
            <w:pPr>
              <w:ind w:left="105" w:right="105"/>
              <w:rPr>
                <w:rFonts w:ascii="方正仿宋_GBK" w:hAnsi="方正仿宋_GBK" w:eastAsia="方正仿宋_GBK"/>
              </w:rPr>
            </w:pPr>
          </w:p>
        </w:tc>
        <w:tc>
          <w:tcPr>
            <w:tcW w:w="3411" w:type="dxa"/>
            <w:gridSpan w:val="2"/>
          </w:tcPr>
          <w:p w14:paraId="1F95413D">
            <w:pPr>
              <w:ind w:left="105" w:right="105"/>
              <w:rPr>
                <w:rFonts w:ascii="方正仿宋_GBK" w:hAnsi="方正仿宋_GBK" w:eastAsia="方正仿宋_GBK"/>
              </w:rPr>
            </w:pPr>
          </w:p>
        </w:tc>
        <w:tc>
          <w:tcPr>
            <w:tcW w:w="1695" w:type="dxa"/>
          </w:tcPr>
          <w:p w14:paraId="2D7F9904">
            <w:pPr>
              <w:ind w:left="105" w:right="105"/>
              <w:rPr>
                <w:rFonts w:ascii="方正仿宋_GBK" w:hAnsi="方正仿宋_GBK" w:eastAsia="方正仿宋_GBK"/>
              </w:rPr>
            </w:pPr>
          </w:p>
        </w:tc>
        <w:tc>
          <w:tcPr>
            <w:tcW w:w="1117" w:type="dxa"/>
          </w:tcPr>
          <w:p w14:paraId="13A28D76">
            <w:pPr>
              <w:ind w:left="105" w:right="105"/>
              <w:rPr>
                <w:rFonts w:ascii="方正仿宋_GBK" w:hAnsi="方正仿宋_GBK" w:eastAsia="方正仿宋_GBK"/>
              </w:rPr>
            </w:pPr>
          </w:p>
        </w:tc>
        <w:tc>
          <w:tcPr>
            <w:tcW w:w="1979" w:type="dxa"/>
          </w:tcPr>
          <w:p w14:paraId="1F2F0BEC">
            <w:pPr>
              <w:ind w:left="105" w:right="105"/>
              <w:rPr>
                <w:rFonts w:ascii="方正仿宋_GBK" w:hAnsi="方正仿宋_GBK" w:eastAsia="方正仿宋_GBK"/>
              </w:rPr>
            </w:pPr>
          </w:p>
        </w:tc>
      </w:tr>
      <w:tr w14:paraId="6EAC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4212D51">
            <w:pPr>
              <w:ind w:left="105" w:right="105"/>
              <w:rPr>
                <w:rFonts w:ascii="方正仿宋_GBK" w:hAnsi="方正仿宋_GBK" w:eastAsia="方正仿宋_GBK"/>
              </w:rPr>
            </w:pPr>
          </w:p>
        </w:tc>
        <w:tc>
          <w:tcPr>
            <w:tcW w:w="3411" w:type="dxa"/>
            <w:gridSpan w:val="2"/>
          </w:tcPr>
          <w:p w14:paraId="46EA7516">
            <w:pPr>
              <w:ind w:left="105" w:right="105"/>
              <w:rPr>
                <w:rFonts w:ascii="方正仿宋_GBK" w:hAnsi="方正仿宋_GBK" w:eastAsia="方正仿宋_GBK"/>
              </w:rPr>
            </w:pPr>
          </w:p>
        </w:tc>
        <w:tc>
          <w:tcPr>
            <w:tcW w:w="1695" w:type="dxa"/>
          </w:tcPr>
          <w:p w14:paraId="0ACC0C77">
            <w:pPr>
              <w:ind w:left="105" w:right="105"/>
              <w:rPr>
                <w:rFonts w:ascii="方正仿宋_GBK" w:hAnsi="方正仿宋_GBK" w:eastAsia="方正仿宋_GBK"/>
              </w:rPr>
            </w:pPr>
          </w:p>
        </w:tc>
        <w:tc>
          <w:tcPr>
            <w:tcW w:w="1117" w:type="dxa"/>
          </w:tcPr>
          <w:p w14:paraId="0AEB4B18">
            <w:pPr>
              <w:ind w:left="105" w:right="105"/>
              <w:rPr>
                <w:rFonts w:ascii="方正仿宋_GBK" w:hAnsi="方正仿宋_GBK" w:eastAsia="方正仿宋_GBK"/>
              </w:rPr>
            </w:pPr>
          </w:p>
        </w:tc>
        <w:tc>
          <w:tcPr>
            <w:tcW w:w="1979" w:type="dxa"/>
          </w:tcPr>
          <w:p w14:paraId="6BB469C3">
            <w:pPr>
              <w:ind w:left="105" w:right="105"/>
              <w:rPr>
                <w:rFonts w:ascii="方正仿宋_GBK" w:hAnsi="方正仿宋_GBK" w:eastAsia="方正仿宋_GBK"/>
              </w:rPr>
            </w:pPr>
          </w:p>
        </w:tc>
      </w:tr>
      <w:tr w14:paraId="3FD7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9E85F34">
            <w:pPr>
              <w:ind w:left="105" w:right="105"/>
              <w:rPr>
                <w:rFonts w:ascii="方正仿宋_GBK" w:hAnsi="方正仿宋_GBK" w:eastAsia="方正仿宋_GBK"/>
              </w:rPr>
            </w:pPr>
          </w:p>
        </w:tc>
        <w:tc>
          <w:tcPr>
            <w:tcW w:w="3411" w:type="dxa"/>
            <w:gridSpan w:val="2"/>
          </w:tcPr>
          <w:p w14:paraId="7D215E94">
            <w:pPr>
              <w:ind w:left="105" w:right="105"/>
              <w:rPr>
                <w:rFonts w:ascii="方正仿宋_GBK" w:hAnsi="方正仿宋_GBK" w:eastAsia="方正仿宋_GBK"/>
              </w:rPr>
            </w:pPr>
          </w:p>
        </w:tc>
        <w:tc>
          <w:tcPr>
            <w:tcW w:w="1695" w:type="dxa"/>
          </w:tcPr>
          <w:p w14:paraId="123A4795">
            <w:pPr>
              <w:ind w:left="105" w:right="105"/>
              <w:rPr>
                <w:rFonts w:ascii="方正仿宋_GBK" w:hAnsi="方正仿宋_GBK" w:eastAsia="方正仿宋_GBK"/>
              </w:rPr>
            </w:pPr>
          </w:p>
        </w:tc>
        <w:tc>
          <w:tcPr>
            <w:tcW w:w="1117" w:type="dxa"/>
          </w:tcPr>
          <w:p w14:paraId="760570EB">
            <w:pPr>
              <w:ind w:left="105" w:right="105"/>
              <w:rPr>
                <w:rFonts w:ascii="方正仿宋_GBK" w:hAnsi="方正仿宋_GBK" w:eastAsia="方正仿宋_GBK"/>
              </w:rPr>
            </w:pPr>
          </w:p>
        </w:tc>
        <w:tc>
          <w:tcPr>
            <w:tcW w:w="1979" w:type="dxa"/>
          </w:tcPr>
          <w:p w14:paraId="02EC44AA">
            <w:pPr>
              <w:ind w:left="105" w:right="105"/>
              <w:rPr>
                <w:rFonts w:ascii="方正仿宋_GBK" w:hAnsi="方正仿宋_GBK" w:eastAsia="方正仿宋_GBK"/>
              </w:rPr>
            </w:pPr>
          </w:p>
        </w:tc>
      </w:tr>
      <w:tr w14:paraId="641C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575DD706">
            <w:pPr>
              <w:ind w:left="105" w:right="105"/>
              <w:rPr>
                <w:rFonts w:ascii="方正仿宋_GBK" w:hAnsi="方正仿宋_GBK" w:eastAsia="方正仿宋_GBK"/>
              </w:rPr>
            </w:pPr>
          </w:p>
        </w:tc>
        <w:tc>
          <w:tcPr>
            <w:tcW w:w="3411" w:type="dxa"/>
            <w:gridSpan w:val="2"/>
          </w:tcPr>
          <w:p w14:paraId="0836434B">
            <w:pPr>
              <w:ind w:left="105" w:right="105"/>
              <w:rPr>
                <w:rFonts w:ascii="方正仿宋_GBK" w:hAnsi="方正仿宋_GBK" w:eastAsia="方正仿宋_GBK"/>
              </w:rPr>
            </w:pPr>
          </w:p>
        </w:tc>
        <w:tc>
          <w:tcPr>
            <w:tcW w:w="1695" w:type="dxa"/>
          </w:tcPr>
          <w:p w14:paraId="09E17C99">
            <w:pPr>
              <w:ind w:left="105" w:right="105"/>
              <w:rPr>
                <w:rFonts w:ascii="方正仿宋_GBK" w:hAnsi="方正仿宋_GBK" w:eastAsia="方正仿宋_GBK"/>
              </w:rPr>
            </w:pPr>
          </w:p>
        </w:tc>
        <w:tc>
          <w:tcPr>
            <w:tcW w:w="1117" w:type="dxa"/>
          </w:tcPr>
          <w:p w14:paraId="76D03649">
            <w:pPr>
              <w:ind w:left="105" w:right="105"/>
              <w:rPr>
                <w:rFonts w:ascii="方正仿宋_GBK" w:hAnsi="方正仿宋_GBK" w:eastAsia="方正仿宋_GBK"/>
              </w:rPr>
            </w:pPr>
          </w:p>
        </w:tc>
        <w:tc>
          <w:tcPr>
            <w:tcW w:w="1979" w:type="dxa"/>
          </w:tcPr>
          <w:p w14:paraId="2A0F690E">
            <w:pPr>
              <w:ind w:left="105" w:right="105"/>
              <w:rPr>
                <w:rFonts w:ascii="方正仿宋_GBK" w:hAnsi="方正仿宋_GBK" w:eastAsia="方正仿宋_GBK"/>
              </w:rPr>
            </w:pPr>
          </w:p>
        </w:tc>
      </w:tr>
      <w:tr w14:paraId="63E6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C5B5F5D">
            <w:pPr>
              <w:ind w:left="105" w:right="105"/>
              <w:rPr>
                <w:rFonts w:ascii="方正仿宋_GBK" w:hAnsi="方正仿宋_GBK" w:eastAsia="方正仿宋_GBK"/>
              </w:rPr>
            </w:pPr>
          </w:p>
        </w:tc>
        <w:tc>
          <w:tcPr>
            <w:tcW w:w="3411" w:type="dxa"/>
            <w:gridSpan w:val="2"/>
          </w:tcPr>
          <w:p w14:paraId="4921C224">
            <w:pPr>
              <w:ind w:left="105" w:right="105"/>
              <w:rPr>
                <w:rFonts w:ascii="方正仿宋_GBK" w:hAnsi="方正仿宋_GBK" w:eastAsia="方正仿宋_GBK"/>
              </w:rPr>
            </w:pPr>
          </w:p>
        </w:tc>
        <w:tc>
          <w:tcPr>
            <w:tcW w:w="1695" w:type="dxa"/>
          </w:tcPr>
          <w:p w14:paraId="16661DDD">
            <w:pPr>
              <w:ind w:left="105" w:right="105"/>
              <w:rPr>
                <w:rFonts w:ascii="方正仿宋_GBK" w:hAnsi="方正仿宋_GBK" w:eastAsia="方正仿宋_GBK"/>
              </w:rPr>
            </w:pPr>
          </w:p>
        </w:tc>
        <w:tc>
          <w:tcPr>
            <w:tcW w:w="1117" w:type="dxa"/>
          </w:tcPr>
          <w:p w14:paraId="2284DB7A">
            <w:pPr>
              <w:ind w:left="105" w:right="105"/>
              <w:rPr>
                <w:rFonts w:ascii="方正仿宋_GBK" w:hAnsi="方正仿宋_GBK" w:eastAsia="方正仿宋_GBK"/>
              </w:rPr>
            </w:pPr>
          </w:p>
        </w:tc>
        <w:tc>
          <w:tcPr>
            <w:tcW w:w="1979" w:type="dxa"/>
          </w:tcPr>
          <w:p w14:paraId="24A218D2">
            <w:pPr>
              <w:ind w:left="105" w:right="105"/>
              <w:rPr>
                <w:rFonts w:ascii="方正仿宋_GBK" w:hAnsi="方正仿宋_GBK" w:eastAsia="方正仿宋_GBK"/>
              </w:rPr>
            </w:pPr>
          </w:p>
        </w:tc>
      </w:tr>
      <w:tr w14:paraId="47CE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0747D101">
            <w:pPr>
              <w:ind w:left="105" w:right="105"/>
              <w:rPr>
                <w:rFonts w:ascii="方正仿宋_GBK" w:hAnsi="方正仿宋_GBK" w:eastAsia="方正仿宋_GBK"/>
              </w:rPr>
            </w:pPr>
          </w:p>
        </w:tc>
        <w:tc>
          <w:tcPr>
            <w:tcW w:w="3411" w:type="dxa"/>
            <w:gridSpan w:val="2"/>
          </w:tcPr>
          <w:p w14:paraId="52DA3204">
            <w:pPr>
              <w:ind w:left="105" w:right="105"/>
              <w:rPr>
                <w:rFonts w:ascii="方正仿宋_GBK" w:hAnsi="方正仿宋_GBK" w:eastAsia="方正仿宋_GBK"/>
              </w:rPr>
            </w:pPr>
          </w:p>
        </w:tc>
        <w:tc>
          <w:tcPr>
            <w:tcW w:w="1695" w:type="dxa"/>
          </w:tcPr>
          <w:p w14:paraId="63A4CE17">
            <w:pPr>
              <w:ind w:left="105" w:right="105"/>
              <w:rPr>
                <w:rFonts w:ascii="方正仿宋_GBK" w:hAnsi="方正仿宋_GBK" w:eastAsia="方正仿宋_GBK"/>
              </w:rPr>
            </w:pPr>
          </w:p>
        </w:tc>
        <w:tc>
          <w:tcPr>
            <w:tcW w:w="1117" w:type="dxa"/>
          </w:tcPr>
          <w:p w14:paraId="6496CB34">
            <w:pPr>
              <w:ind w:left="105" w:right="105"/>
              <w:rPr>
                <w:rFonts w:ascii="方正仿宋_GBK" w:hAnsi="方正仿宋_GBK" w:eastAsia="方正仿宋_GBK"/>
              </w:rPr>
            </w:pPr>
          </w:p>
        </w:tc>
        <w:tc>
          <w:tcPr>
            <w:tcW w:w="1979" w:type="dxa"/>
          </w:tcPr>
          <w:p w14:paraId="39C5CAAD">
            <w:pPr>
              <w:ind w:left="105" w:right="105"/>
              <w:rPr>
                <w:rFonts w:ascii="方正仿宋_GBK" w:hAnsi="方正仿宋_GBK" w:eastAsia="方正仿宋_GBK"/>
              </w:rPr>
            </w:pPr>
          </w:p>
        </w:tc>
      </w:tr>
      <w:tr w14:paraId="03CD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23B29573">
            <w:pPr>
              <w:ind w:left="105" w:right="105"/>
              <w:rPr>
                <w:rFonts w:ascii="方正仿宋_GBK" w:hAnsi="方正仿宋_GBK" w:eastAsia="方正仿宋_GBK"/>
              </w:rPr>
            </w:pPr>
          </w:p>
        </w:tc>
        <w:tc>
          <w:tcPr>
            <w:tcW w:w="3411" w:type="dxa"/>
            <w:gridSpan w:val="2"/>
          </w:tcPr>
          <w:p w14:paraId="01901B24">
            <w:pPr>
              <w:ind w:left="105" w:right="105"/>
              <w:rPr>
                <w:rFonts w:ascii="方正仿宋_GBK" w:hAnsi="方正仿宋_GBK" w:eastAsia="方正仿宋_GBK"/>
              </w:rPr>
            </w:pPr>
          </w:p>
        </w:tc>
        <w:tc>
          <w:tcPr>
            <w:tcW w:w="1695" w:type="dxa"/>
          </w:tcPr>
          <w:p w14:paraId="2BC5BCE1">
            <w:pPr>
              <w:ind w:left="105" w:right="105"/>
              <w:rPr>
                <w:rFonts w:ascii="方正仿宋_GBK" w:hAnsi="方正仿宋_GBK" w:eastAsia="方正仿宋_GBK"/>
              </w:rPr>
            </w:pPr>
          </w:p>
        </w:tc>
        <w:tc>
          <w:tcPr>
            <w:tcW w:w="1117" w:type="dxa"/>
          </w:tcPr>
          <w:p w14:paraId="5132D620">
            <w:pPr>
              <w:ind w:left="105" w:right="105"/>
              <w:rPr>
                <w:rFonts w:ascii="方正仿宋_GBK" w:hAnsi="方正仿宋_GBK" w:eastAsia="方正仿宋_GBK"/>
              </w:rPr>
            </w:pPr>
          </w:p>
        </w:tc>
        <w:tc>
          <w:tcPr>
            <w:tcW w:w="1979" w:type="dxa"/>
          </w:tcPr>
          <w:p w14:paraId="0764BA06">
            <w:pPr>
              <w:ind w:left="105" w:right="105"/>
              <w:rPr>
                <w:rFonts w:ascii="方正仿宋_GBK" w:hAnsi="方正仿宋_GBK" w:eastAsia="方正仿宋_GBK"/>
              </w:rPr>
            </w:pPr>
          </w:p>
        </w:tc>
      </w:tr>
      <w:tr w14:paraId="5B7A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5" w:type="dxa"/>
            <w:gridSpan w:val="2"/>
          </w:tcPr>
          <w:p w14:paraId="34ECB742">
            <w:pPr>
              <w:ind w:left="105" w:right="105"/>
              <w:jc w:val="center"/>
              <w:rPr>
                <w:rFonts w:ascii="方正仿宋_GBK" w:hAnsi="方正仿宋_GBK" w:eastAsia="方正仿宋_GBK"/>
              </w:rPr>
            </w:pPr>
            <w:r>
              <w:rPr>
                <w:rFonts w:hint="eastAsia" w:ascii="方正仿宋_GBK" w:hAnsi="方正仿宋_GBK" w:eastAsia="方正仿宋_GBK"/>
              </w:rPr>
              <w:t>最高竞选限价：</w:t>
            </w:r>
          </w:p>
        </w:tc>
        <w:tc>
          <w:tcPr>
            <w:tcW w:w="5673" w:type="dxa"/>
            <w:gridSpan w:val="4"/>
          </w:tcPr>
          <w:p w14:paraId="597288FE">
            <w:pPr>
              <w:ind w:left="105" w:right="105"/>
              <w:rPr>
                <w:rFonts w:ascii="方正仿宋_GBK" w:hAnsi="方正仿宋_GBK" w:eastAsia="方正仿宋_GBK"/>
              </w:rPr>
            </w:pPr>
          </w:p>
        </w:tc>
      </w:tr>
    </w:tbl>
    <w:p w14:paraId="44F55AD6">
      <w:pPr>
        <w:ind w:left="105" w:right="105"/>
        <w:rPr>
          <w:rFonts w:asciiTheme="minorEastAsia" w:hAnsiTheme="minorEastAsia"/>
        </w:rPr>
      </w:pPr>
    </w:p>
    <w:p w14:paraId="3A7657F6">
      <w:pPr>
        <w:ind w:left="105" w:right="105"/>
        <w:rPr>
          <w:rFonts w:asciiTheme="minorEastAsia" w:hAnsiTheme="minorEastAsia"/>
        </w:rPr>
      </w:pPr>
    </w:p>
    <w:p w14:paraId="7C7DF243">
      <w:pPr>
        <w:ind w:left="105" w:right="105"/>
        <w:rPr>
          <w:rFonts w:ascii="方正仿宋_GBK" w:hAnsi="方正仿宋_GBK" w:eastAsia="方正仿宋_GBK"/>
        </w:rPr>
      </w:pPr>
      <w:r>
        <w:rPr>
          <w:rFonts w:hint="eastAsia" w:ascii="方正仿宋_GBK" w:hAnsi="方正仿宋_GBK" w:eastAsia="方正仿宋_GBK"/>
        </w:rPr>
        <w:t>比选人</w:t>
      </w:r>
      <w:r>
        <w:rPr>
          <w:rFonts w:ascii="方正仿宋_GBK" w:hAnsi="方正仿宋_GBK" w:eastAsia="方正仿宋_GBK"/>
        </w:rPr>
        <w:t>代表</w:t>
      </w:r>
      <w:r>
        <w:rPr>
          <w:rFonts w:hint="eastAsia" w:ascii="方正仿宋_GBK" w:hAnsi="方正仿宋_GBK" w:eastAsia="方正仿宋_GBK"/>
        </w:rPr>
        <w:t>：</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hint="eastAsia" w:ascii="方正仿宋_GBK" w:hAnsi="方正仿宋_GBK" w:eastAsia="方正仿宋_GBK"/>
        </w:rPr>
        <w:t>监督</w:t>
      </w:r>
      <w:r>
        <w:rPr>
          <w:rFonts w:ascii="方正仿宋_GBK" w:hAnsi="方正仿宋_GBK" w:eastAsia="方正仿宋_GBK"/>
        </w:rPr>
        <w:t>人</w:t>
      </w:r>
      <w:r>
        <w:rPr>
          <w:rFonts w:hint="eastAsia" w:ascii="方正仿宋_GBK" w:hAnsi="方正仿宋_GBK" w:eastAsia="方正仿宋_GBK"/>
        </w:rPr>
        <w:t>：</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记录人</w:t>
      </w:r>
      <w:r>
        <w:rPr>
          <w:rFonts w:hint="eastAsia" w:ascii="方正仿宋_GBK" w:hAnsi="方正仿宋_GBK" w:eastAsia="方正仿宋_GBK"/>
        </w:rPr>
        <w:t>：</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p>
    <w:p w14:paraId="3CEB28B8">
      <w:pPr>
        <w:ind w:left="105" w:right="105"/>
        <w:jc w:val="right"/>
        <w:rPr>
          <w:rFonts w:ascii="方正仿宋_GBK" w:hAnsi="方正仿宋_GBK" w:eastAsia="方正仿宋_GBK"/>
        </w:rPr>
      </w:pP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年</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月</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日</w:t>
      </w:r>
    </w:p>
    <w:p w14:paraId="746F8726">
      <w:pPr>
        <w:ind w:left="105" w:right="105"/>
      </w:pPr>
    </w:p>
    <w:p w14:paraId="051E4974">
      <w:pPr>
        <w:ind w:left="105" w:right="105"/>
      </w:pPr>
    </w:p>
    <w:p w14:paraId="227DD9FB">
      <w:pPr>
        <w:ind w:left="105" w:right="105"/>
      </w:pPr>
    </w:p>
    <w:p w14:paraId="503BEE53">
      <w:pPr>
        <w:ind w:left="105" w:right="105"/>
      </w:pPr>
    </w:p>
    <w:p w14:paraId="6158EA7A">
      <w:pPr>
        <w:ind w:left="105" w:right="105"/>
      </w:pPr>
    </w:p>
    <w:p w14:paraId="56176648">
      <w:pPr>
        <w:ind w:left="105" w:right="105"/>
      </w:pPr>
    </w:p>
    <w:p w14:paraId="62E736E5">
      <w:pPr>
        <w:ind w:left="105" w:right="105"/>
      </w:pPr>
    </w:p>
    <w:p w14:paraId="0E476EB4">
      <w:pPr>
        <w:ind w:left="105" w:right="105"/>
      </w:pPr>
    </w:p>
    <w:p w14:paraId="55008A3A">
      <w:pPr>
        <w:ind w:left="105" w:right="105"/>
      </w:pPr>
    </w:p>
    <w:p w14:paraId="18CA6643">
      <w:pPr>
        <w:ind w:left="105" w:right="105"/>
      </w:pPr>
    </w:p>
    <w:p w14:paraId="240D5702">
      <w:pPr>
        <w:ind w:left="105" w:right="105"/>
      </w:pPr>
    </w:p>
    <w:p w14:paraId="46E9B1A5">
      <w:pPr>
        <w:ind w:left="105" w:right="105"/>
      </w:pPr>
    </w:p>
    <w:p w14:paraId="760E636E">
      <w:pPr>
        <w:ind w:left="105" w:right="105"/>
      </w:pPr>
    </w:p>
    <w:p w14:paraId="1268C517">
      <w:pPr>
        <w:ind w:left="105" w:right="105"/>
      </w:pPr>
    </w:p>
    <w:p w14:paraId="2F2CCDD0">
      <w:pPr>
        <w:ind w:left="105" w:right="105"/>
      </w:pPr>
    </w:p>
    <w:p w14:paraId="432181E7">
      <w:pPr>
        <w:ind w:left="105" w:right="105"/>
      </w:pPr>
    </w:p>
    <w:p w14:paraId="5F11EEA0">
      <w:pPr>
        <w:ind w:left="105" w:right="105"/>
      </w:pPr>
    </w:p>
    <w:p w14:paraId="6A4CD5D0">
      <w:pPr>
        <w:ind w:left="105" w:right="105"/>
      </w:pPr>
    </w:p>
    <w:p w14:paraId="03DD5C95">
      <w:pPr>
        <w:ind w:left="105" w:right="105"/>
      </w:pPr>
    </w:p>
    <w:p w14:paraId="6A7FC0B5">
      <w:pPr>
        <w:ind w:left="105" w:right="105"/>
      </w:pPr>
    </w:p>
    <w:p w14:paraId="627585DC">
      <w:pPr>
        <w:ind w:left="105" w:right="105"/>
      </w:pPr>
    </w:p>
    <w:p w14:paraId="5881B5F5">
      <w:pPr>
        <w:ind w:left="105" w:right="105"/>
      </w:pPr>
    </w:p>
    <w:p w14:paraId="6E5C1E8E">
      <w:pPr>
        <w:ind w:left="105" w:right="105"/>
      </w:pPr>
    </w:p>
    <w:p w14:paraId="7A201057">
      <w:pPr>
        <w:ind w:left="105" w:right="105"/>
      </w:pPr>
    </w:p>
    <w:p w14:paraId="0D9B479A">
      <w:pPr>
        <w:ind w:left="105" w:right="105"/>
      </w:pPr>
    </w:p>
    <w:p w14:paraId="0386BD0E">
      <w:pPr>
        <w:ind w:left="105" w:right="105"/>
      </w:pPr>
    </w:p>
    <w:p w14:paraId="120294DE">
      <w:pPr>
        <w:ind w:left="105" w:right="105"/>
      </w:pPr>
    </w:p>
    <w:p w14:paraId="769EEE02">
      <w:pPr>
        <w:ind w:left="105" w:right="105"/>
      </w:pPr>
    </w:p>
    <w:p w14:paraId="15214829">
      <w:pPr>
        <w:pStyle w:val="4"/>
        <w:spacing w:before="0" w:after="0" w:line="240" w:lineRule="auto"/>
        <w:ind w:left="105" w:right="105" w:firstLine="103"/>
        <w:rPr>
          <w:rFonts w:ascii="方正仿宋_GBK" w:hAnsi="方正仿宋_GBK" w:eastAsia="方正仿宋_GBK"/>
          <w:sz w:val="21"/>
          <w:szCs w:val="21"/>
        </w:rPr>
      </w:pPr>
      <w:bookmarkStart w:id="164" w:name="_Toc14964"/>
      <w:bookmarkStart w:id="165" w:name="_Toc492300621"/>
      <w:bookmarkStart w:id="166" w:name="_Toc172188099"/>
      <w:r>
        <w:rPr>
          <w:rFonts w:ascii="方正仿宋_GBK" w:hAnsi="方正仿宋_GBK" w:eastAsia="方正仿宋_GBK"/>
          <w:sz w:val="21"/>
          <w:szCs w:val="21"/>
        </w:rPr>
        <w:t>附件</w:t>
      </w:r>
      <w:r>
        <w:rPr>
          <w:rFonts w:hint="eastAsia" w:ascii="方正仿宋_GBK" w:hAnsi="方正仿宋_GBK" w:eastAsia="方正仿宋_GBK"/>
          <w:sz w:val="21"/>
          <w:szCs w:val="21"/>
        </w:rPr>
        <w:t>二</w:t>
      </w:r>
      <w:r>
        <w:rPr>
          <w:rFonts w:ascii="方正仿宋_GBK" w:hAnsi="方正仿宋_GBK" w:eastAsia="方正仿宋_GBK"/>
          <w:sz w:val="21"/>
          <w:szCs w:val="21"/>
        </w:rPr>
        <w:t>：问题澄清通知</w:t>
      </w:r>
      <w:bookmarkEnd w:id="164"/>
      <w:bookmarkEnd w:id="165"/>
      <w:bookmarkEnd w:id="166"/>
    </w:p>
    <w:p w14:paraId="793C58A8">
      <w:pPr>
        <w:ind w:left="105" w:right="105"/>
        <w:jc w:val="center"/>
        <w:rPr>
          <w:rFonts w:ascii="方正仿宋_GBK" w:hAnsi="方正仿宋_GBK" w:eastAsia="方正仿宋_GBK"/>
        </w:rPr>
      </w:pPr>
    </w:p>
    <w:p w14:paraId="338A2D6D">
      <w:pPr>
        <w:ind w:left="105" w:right="105"/>
        <w:jc w:val="center"/>
        <w:rPr>
          <w:rFonts w:ascii="方正仿宋_GBK" w:hAnsi="方正仿宋_GBK" w:eastAsia="方正仿宋_GBK"/>
          <w:sz w:val="28"/>
        </w:rPr>
      </w:pPr>
      <w:r>
        <w:rPr>
          <w:rFonts w:ascii="方正仿宋_GBK" w:hAnsi="方正仿宋_GBK" w:eastAsia="方正仿宋_GBK"/>
          <w:sz w:val="28"/>
        </w:rPr>
        <w:t>问题澄清通知</w:t>
      </w:r>
    </w:p>
    <w:p w14:paraId="17C05F95">
      <w:pPr>
        <w:ind w:left="105" w:right="105"/>
        <w:jc w:val="center"/>
        <w:rPr>
          <w:rFonts w:ascii="方正仿宋_GBK" w:hAnsi="方正仿宋_GBK" w:eastAsia="方正仿宋_GBK"/>
        </w:rPr>
      </w:pPr>
      <w:r>
        <w:rPr>
          <w:rFonts w:ascii="方正仿宋_GBK" w:hAnsi="方正仿宋_GBK" w:eastAsia="方正仿宋_GBK"/>
        </w:rPr>
        <w:t>（编号</w:t>
      </w:r>
      <w:r>
        <w:rPr>
          <w:rFonts w:hint="eastAsia" w:ascii="方正仿宋_GBK" w:hAnsi="方正仿宋_GBK" w:eastAsia="方正仿宋_GBK"/>
        </w:rPr>
        <w:t>：</w:t>
      </w:r>
      <w:r>
        <w:rPr>
          <w:rFonts w:ascii="方正仿宋_GBK" w:hAnsi="方正仿宋_GBK" w:eastAsia="方正仿宋_GBK"/>
          <w:sz w:val="28"/>
          <w:u w:val="single"/>
        </w:rPr>
        <w:t xml:space="preserve">              </w:t>
      </w:r>
      <w:r>
        <w:rPr>
          <w:rFonts w:ascii="方正仿宋_GBK" w:hAnsi="方正仿宋_GBK" w:eastAsia="方正仿宋_GBK"/>
        </w:rPr>
        <w:t>）</w:t>
      </w:r>
    </w:p>
    <w:p w14:paraId="2DE907B4">
      <w:pPr>
        <w:ind w:left="105" w:right="105"/>
        <w:rPr>
          <w:rFonts w:ascii="方正仿宋_GBK" w:hAnsi="方正仿宋_GBK" w:eastAsia="方正仿宋_GBK"/>
        </w:rPr>
      </w:pPr>
    </w:p>
    <w:p w14:paraId="35044B33">
      <w:pPr>
        <w:ind w:left="105" w:right="105"/>
        <w:rPr>
          <w:rFonts w:ascii="方正仿宋_GBK" w:hAnsi="方正仿宋_GBK" w:eastAsia="方正仿宋_GBK"/>
        </w:rPr>
      </w:pPr>
      <w:r>
        <w:rPr>
          <w:rFonts w:ascii="方正仿宋_GBK" w:hAnsi="方正仿宋_GBK" w:eastAsia="方正仿宋_GBK"/>
          <w:u w:val="single"/>
        </w:rPr>
        <w:t xml:space="preserve">                     （</w:t>
      </w:r>
      <w:r>
        <w:rPr>
          <w:rFonts w:hint="eastAsia" w:ascii="方正仿宋_GBK" w:hAnsi="方正仿宋_GBK" w:eastAsia="方正仿宋_GBK"/>
          <w:u w:val="single"/>
        </w:rPr>
        <w:t>竞选人</w:t>
      </w:r>
      <w:r>
        <w:rPr>
          <w:rFonts w:ascii="方正仿宋_GBK" w:hAnsi="方正仿宋_GBK" w:eastAsia="方正仿宋_GBK"/>
          <w:u w:val="single"/>
        </w:rPr>
        <w:t>名称）</w:t>
      </w:r>
      <w:r>
        <w:rPr>
          <w:rFonts w:ascii="方正仿宋_GBK" w:hAnsi="方正仿宋_GBK" w:eastAsia="方正仿宋_GBK"/>
        </w:rPr>
        <w:t>：</w:t>
      </w:r>
    </w:p>
    <w:p w14:paraId="4EEE9B1F">
      <w:pPr>
        <w:ind w:left="105" w:right="105"/>
        <w:rPr>
          <w:rFonts w:ascii="方正仿宋_GBK" w:hAnsi="方正仿宋_GBK" w:eastAsia="方正仿宋_GBK"/>
        </w:rPr>
      </w:pPr>
    </w:p>
    <w:p w14:paraId="355B3D34">
      <w:pPr>
        <w:ind w:left="105" w:right="105" w:firstLine="420" w:firstLineChars="200"/>
        <w:rPr>
          <w:rFonts w:ascii="方正仿宋_GBK" w:hAnsi="方正仿宋_GBK" w:eastAsia="方正仿宋_GBK"/>
        </w:rPr>
      </w:pPr>
      <w:r>
        <w:rPr>
          <w:rFonts w:hint="eastAsia" w:ascii="方正仿宋_GBK" w:hAnsi="方正仿宋_GBK" w:eastAsia="方正仿宋_GBK"/>
        </w:rPr>
        <w:t>评审小组</w:t>
      </w:r>
      <w:r>
        <w:rPr>
          <w:rFonts w:ascii="方正仿宋_GBK" w:hAnsi="方正仿宋_GBK" w:eastAsia="方正仿宋_GBK"/>
        </w:rPr>
        <w:t>对你方的</w:t>
      </w:r>
      <w:r>
        <w:rPr>
          <w:rFonts w:hint="eastAsia" w:ascii="方正仿宋_GBK" w:hAnsi="方正仿宋_GBK" w:eastAsia="方正仿宋_GBK"/>
        </w:rPr>
        <w:t>竞选文件</w:t>
      </w:r>
      <w:r>
        <w:rPr>
          <w:rFonts w:ascii="方正仿宋_GBK" w:hAnsi="方正仿宋_GBK" w:eastAsia="方正仿宋_GBK"/>
        </w:rPr>
        <w:t>进行了仔细的审查，现需你方对下列问题以书</w:t>
      </w:r>
      <w:bookmarkStart w:id="167" w:name="_Toc352691521"/>
      <w:bookmarkStart w:id="168" w:name="_Toc152045576"/>
      <w:bookmarkStart w:id="169" w:name="_Toc152042352"/>
      <w:bookmarkStart w:id="170" w:name="_Toc144974544"/>
      <w:bookmarkStart w:id="171" w:name="_Toc247514000"/>
      <w:bookmarkStart w:id="172" w:name="_Toc247527601"/>
      <w:bookmarkStart w:id="173" w:name="_Toc300834996"/>
      <w:bookmarkStart w:id="174" w:name="_Toc369531565"/>
      <w:bookmarkStart w:id="175" w:name="_Toc384308260"/>
      <w:bookmarkStart w:id="176" w:name="_Toc361508634"/>
      <w:bookmarkStart w:id="177" w:name="_Toc23050"/>
      <w:r>
        <w:rPr>
          <w:rFonts w:ascii="方正仿宋_GBK" w:hAnsi="方正仿宋_GBK" w:eastAsia="方正仿宋_GBK"/>
        </w:rPr>
        <w:t>面形式予以澄清、说明或补正：</w:t>
      </w:r>
    </w:p>
    <w:bookmarkEnd w:id="167"/>
    <w:bookmarkEnd w:id="168"/>
    <w:bookmarkEnd w:id="169"/>
    <w:bookmarkEnd w:id="170"/>
    <w:bookmarkEnd w:id="171"/>
    <w:bookmarkEnd w:id="172"/>
    <w:bookmarkEnd w:id="173"/>
    <w:bookmarkEnd w:id="174"/>
    <w:bookmarkEnd w:id="175"/>
    <w:bookmarkEnd w:id="176"/>
    <w:bookmarkEnd w:id="177"/>
    <w:p w14:paraId="3E57949C">
      <w:pPr>
        <w:ind w:left="105" w:right="105" w:firstLine="420" w:firstLineChars="200"/>
        <w:rPr>
          <w:rFonts w:ascii="方正仿宋_GBK" w:hAnsi="方正仿宋_GBK" w:eastAsia="方正仿宋_GBK"/>
        </w:rPr>
      </w:pPr>
      <w:bookmarkStart w:id="178" w:name="_Toc152042354"/>
      <w:bookmarkStart w:id="179" w:name="_Toc352691523"/>
      <w:bookmarkStart w:id="180" w:name="_Toc6580"/>
      <w:bookmarkStart w:id="181" w:name="_Toc384308262"/>
      <w:bookmarkStart w:id="182" w:name="_Toc152045578"/>
      <w:bookmarkStart w:id="183" w:name="_Toc247527603"/>
      <w:bookmarkStart w:id="184" w:name="_Toc247514002"/>
      <w:bookmarkStart w:id="185" w:name="_Toc369531567"/>
      <w:bookmarkStart w:id="186" w:name="_Toc300834998"/>
      <w:bookmarkStart w:id="187" w:name="_Toc361508636"/>
      <w:r>
        <w:rPr>
          <w:rFonts w:ascii="方正仿宋_GBK" w:hAnsi="方正仿宋_GBK" w:eastAsia="方正仿宋_GBK"/>
        </w:rPr>
        <w:t>1.</w:t>
      </w:r>
    </w:p>
    <w:p w14:paraId="284E319A">
      <w:pPr>
        <w:ind w:left="105" w:right="105" w:firstLine="420" w:firstLineChars="200"/>
        <w:rPr>
          <w:rFonts w:ascii="方正仿宋_GBK" w:hAnsi="方正仿宋_GBK" w:eastAsia="方正仿宋_GBK"/>
        </w:rPr>
      </w:pPr>
      <w:r>
        <w:rPr>
          <w:rFonts w:ascii="方正仿宋_GBK" w:hAnsi="方正仿宋_GBK" w:eastAsia="方正仿宋_GBK"/>
        </w:rPr>
        <w:t>2.</w:t>
      </w:r>
    </w:p>
    <w:p w14:paraId="58FEA985">
      <w:pPr>
        <w:ind w:left="105" w:right="105" w:firstLine="420" w:firstLineChars="200"/>
        <w:rPr>
          <w:rFonts w:ascii="方正仿宋_GBK" w:hAnsi="方正仿宋_GBK" w:eastAsia="方正仿宋_GBK"/>
        </w:rPr>
      </w:pPr>
      <w:r>
        <w:rPr>
          <w:rFonts w:ascii="方正仿宋_GBK" w:hAnsi="方正仿宋_GBK" w:eastAsia="方正仿宋_GBK"/>
        </w:rPr>
        <w:t>.....</w:t>
      </w:r>
    </w:p>
    <w:p w14:paraId="401442BF">
      <w:pPr>
        <w:ind w:left="105" w:right="105" w:firstLine="420" w:firstLineChars="200"/>
        <w:rPr>
          <w:rFonts w:ascii="方正仿宋_GBK" w:hAnsi="方正仿宋_GBK" w:eastAsia="方正仿宋_GBK"/>
        </w:rPr>
      </w:pPr>
    </w:p>
    <w:p w14:paraId="65A8D8AA">
      <w:pPr>
        <w:ind w:left="105" w:right="105" w:firstLine="420" w:firstLineChars="200"/>
        <w:rPr>
          <w:rFonts w:ascii="方正仿宋_GBK" w:hAnsi="方正仿宋_GBK" w:eastAsia="方正仿宋_GBK"/>
        </w:rPr>
      </w:pPr>
    </w:p>
    <w:p w14:paraId="7AD37829">
      <w:pPr>
        <w:ind w:left="105" w:right="105" w:firstLine="420" w:firstLineChars="200"/>
        <w:rPr>
          <w:rFonts w:ascii="方正仿宋_GBK" w:hAnsi="方正仿宋_GBK" w:eastAsia="方正仿宋_GBK"/>
        </w:rPr>
      </w:pPr>
    </w:p>
    <w:p w14:paraId="6F07F732">
      <w:pPr>
        <w:ind w:left="105" w:right="105" w:firstLine="420" w:firstLineChars="200"/>
        <w:rPr>
          <w:rFonts w:ascii="方正仿宋_GBK" w:hAnsi="方正仿宋_GBK" w:eastAsia="方正仿宋_GBK"/>
        </w:rPr>
      </w:pPr>
      <w:r>
        <w:rPr>
          <w:rFonts w:ascii="方正仿宋_GBK" w:hAnsi="方正仿宋_GBK" w:eastAsia="方正仿宋_GBK"/>
        </w:rPr>
        <w:t>请将上述问题的澄清于</w:t>
      </w:r>
      <w:r>
        <w:rPr>
          <w:rFonts w:hint="eastAsia" w:ascii="方正仿宋_GBK" w:hAnsi="方正仿宋_GBK" w:eastAsia="方正仿宋_GBK"/>
          <w:u w:val="single"/>
        </w:rPr>
        <w:t xml:space="preserve">    </w:t>
      </w:r>
      <w:r>
        <w:rPr>
          <w:rFonts w:ascii="方正仿宋_GBK" w:hAnsi="方正仿宋_GBK" w:eastAsia="方正仿宋_GBK"/>
        </w:rPr>
        <w:t>年</w:t>
      </w:r>
      <w:r>
        <w:rPr>
          <w:rFonts w:hint="eastAsia" w:ascii="方正仿宋_GBK" w:hAnsi="方正仿宋_GBK" w:eastAsia="方正仿宋_GBK"/>
          <w:u w:val="single"/>
        </w:rPr>
        <w:t xml:space="preserve">    </w:t>
      </w:r>
      <w:r>
        <w:rPr>
          <w:rFonts w:ascii="方正仿宋_GBK" w:hAnsi="方正仿宋_GBK" w:eastAsia="方正仿宋_GBK"/>
        </w:rPr>
        <w:t>月</w:t>
      </w:r>
      <w:r>
        <w:rPr>
          <w:rFonts w:hint="eastAsia" w:ascii="方正仿宋_GBK" w:hAnsi="方正仿宋_GBK" w:eastAsia="方正仿宋_GBK"/>
          <w:u w:val="single"/>
        </w:rPr>
        <w:t xml:space="preserve">    </w:t>
      </w:r>
      <w:r>
        <w:rPr>
          <w:rFonts w:ascii="方正仿宋_GBK" w:hAnsi="方正仿宋_GBK" w:eastAsia="方正仿宋_GBK"/>
        </w:rPr>
        <w:t>日</w:t>
      </w:r>
      <w:r>
        <w:rPr>
          <w:rFonts w:hint="eastAsia" w:ascii="方正仿宋_GBK" w:hAnsi="方正仿宋_GBK" w:eastAsia="方正仿宋_GBK"/>
          <w:u w:val="single"/>
        </w:rPr>
        <w:t xml:space="preserve">    </w:t>
      </w:r>
      <w:r>
        <w:rPr>
          <w:rFonts w:ascii="方正仿宋_GBK" w:hAnsi="方正仿宋_GBK" w:eastAsia="方正仿宋_GBK"/>
        </w:rPr>
        <w:t>时前</w:t>
      </w:r>
      <w:r>
        <w:rPr>
          <w:rFonts w:hint="eastAsia" w:ascii="方正仿宋_GBK" w:hAnsi="方正仿宋_GBK" w:eastAsia="方正仿宋_GBK"/>
        </w:rPr>
        <w:t>书面提交</w:t>
      </w:r>
      <w:r>
        <w:rPr>
          <w:rFonts w:ascii="方正仿宋_GBK" w:hAnsi="方正仿宋_GBK" w:eastAsia="方正仿宋_GBK"/>
        </w:rPr>
        <w:t>。</w:t>
      </w:r>
    </w:p>
    <w:p w14:paraId="00727A8E">
      <w:pPr>
        <w:ind w:left="105" w:right="105" w:firstLine="400" w:firstLineChars="200"/>
        <w:rPr>
          <w:rFonts w:ascii="方正仿宋_GBK" w:hAnsi="方正仿宋_GBK" w:eastAsia="方正仿宋_GBK"/>
          <w:sz w:val="20"/>
          <w:szCs w:val="20"/>
        </w:rPr>
      </w:pPr>
    </w:p>
    <w:p w14:paraId="168D4B9F">
      <w:pPr>
        <w:tabs>
          <w:tab w:val="left" w:pos="6400"/>
        </w:tabs>
        <w:ind w:left="105" w:right="105"/>
        <w:jc w:val="right"/>
        <w:rPr>
          <w:rFonts w:ascii="方正仿宋_GBK" w:hAnsi="方正仿宋_GBK" w:eastAsia="方正仿宋_GBK"/>
        </w:rPr>
      </w:pPr>
      <w:r>
        <w:rPr>
          <w:rFonts w:ascii="方正仿宋_GBK" w:hAnsi="方正仿宋_GBK" w:eastAsia="方正仿宋_GBK"/>
        </w:rPr>
        <w:t xml:space="preserve">                             </w:t>
      </w:r>
      <w:r>
        <w:rPr>
          <w:rFonts w:hint="eastAsia" w:ascii="方正仿宋_GBK" w:hAnsi="方正仿宋_GBK" w:eastAsia="方正仿宋_GBK"/>
        </w:rPr>
        <w:t>评审小组：</w:t>
      </w:r>
      <w:r>
        <w:rPr>
          <w:rFonts w:hint="eastAsia" w:ascii="方正仿宋_GBK" w:hAnsi="方正仿宋_GBK" w:eastAsia="方正仿宋_GBK"/>
          <w:u w:val="single"/>
        </w:rPr>
        <w:t xml:space="preserve">                  </w:t>
      </w:r>
      <w:r>
        <w:rPr>
          <w:rFonts w:hint="eastAsia" w:ascii="方正仿宋_GBK" w:hAnsi="方正仿宋_GBK" w:eastAsia="方正仿宋_GBK"/>
        </w:rPr>
        <w:t>（签名）</w:t>
      </w:r>
    </w:p>
    <w:bookmarkEnd w:id="178"/>
    <w:bookmarkEnd w:id="179"/>
    <w:bookmarkEnd w:id="180"/>
    <w:bookmarkEnd w:id="181"/>
    <w:bookmarkEnd w:id="182"/>
    <w:bookmarkEnd w:id="183"/>
    <w:bookmarkEnd w:id="184"/>
    <w:bookmarkEnd w:id="185"/>
    <w:bookmarkEnd w:id="186"/>
    <w:bookmarkEnd w:id="187"/>
    <w:p w14:paraId="00B45853">
      <w:pPr>
        <w:ind w:left="105" w:right="105"/>
        <w:rPr>
          <w:rFonts w:ascii="方正仿宋_GBK" w:hAnsi="方正仿宋_GBK" w:eastAsia="方正仿宋_GBK"/>
        </w:rPr>
      </w:pPr>
    </w:p>
    <w:p w14:paraId="13F4FF58">
      <w:pPr>
        <w:ind w:left="105" w:right="105"/>
        <w:jc w:val="right"/>
        <w:rPr>
          <w:rFonts w:ascii="方正仿宋_GBK" w:hAnsi="方正仿宋_GBK" w:eastAsia="方正仿宋_GBK"/>
        </w:rPr>
      </w:pP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年</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月</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日</w:t>
      </w:r>
    </w:p>
    <w:p w14:paraId="09AE8720">
      <w:pPr>
        <w:ind w:left="105" w:right="105"/>
      </w:pPr>
    </w:p>
    <w:p w14:paraId="3B586BE4">
      <w:pPr>
        <w:ind w:left="105" w:right="105"/>
      </w:pPr>
    </w:p>
    <w:p w14:paraId="2DB98E4E">
      <w:pPr>
        <w:ind w:left="105" w:right="105"/>
      </w:pPr>
    </w:p>
    <w:p w14:paraId="3F92FD14">
      <w:pPr>
        <w:ind w:left="105" w:right="105"/>
      </w:pPr>
    </w:p>
    <w:p w14:paraId="252B1288">
      <w:pPr>
        <w:ind w:left="105" w:right="105"/>
      </w:pPr>
    </w:p>
    <w:p w14:paraId="1759AA1F">
      <w:pPr>
        <w:ind w:left="105" w:right="105"/>
      </w:pPr>
    </w:p>
    <w:p w14:paraId="39316D8C">
      <w:pPr>
        <w:ind w:left="105" w:right="105"/>
      </w:pPr>
    </w:p>
    <w:p w14:paraId="375C3196">
      <w:pPr>
        <w:ind w:left="105" w:right="105"/>
      </w:pPr>
    </w:p>
    <w:p w14:paraId="45D102C5">
      <w:pPr>
        <w:ind w:left="105" w:right="105"/>
      </w:pPr>
    </w:p>
    <w:p w14:paraId="041F9808">
      <w:pPr>
        <w:ind w:left="105" w:right="105"/>
      </w:pPr>
    </w:p>
    <w:p w14:paraId="01F9CB2D">
      <w:pPr>
        <w:ind w:left="105" w:right="105"/>
      </w:pPr>
    </w:p>
    <w:p w14:paraId="3E137DAD">
      <w:pPr>
        <w:ind w:left="105" w:right="105"/>
      </w:pPr>
    </w:p>
    <w:p w14:paraId="3A94318D">
      <w:pPr>
        <w:ind w:left="105" w:right="105"/>
      </w:pPr>
    </w:p>
    <w:p w14:paraId="248DF206">
      <w:pPr>
        <w:ind w:left="105" w:right="105"/>
      </w:pPr>
    </w:p>
    <w:p w14:paraId="677F5E2D">
      <w:pPr>
        <w:ind w:left="105" w:right="105"/>
      </w:pPr>
    </w:p>
    <w:p w14:paraId="59B9A29B">
      <w:pPr>
        <w:ind w:left="105" w:right="105"/>
      </w:pPr>
    </w:p>
    <w:p w14:paraId="6B310AE1">
      <w:pPr>
        <w:ind w:left="105" w:right="105"/>
      </w:pPr>
    </w:p>
    <w:p w14:paraId="33694CEC">
      <w:pPr>
        <w:ind w:left="105" w:right="105"/>
      </w:pPr>
    </w:p>
    <w:p w14:paraId="57434808">
      <w:pPr>
        <w:ind w:left="105" w:right="105"/>
      </w:pPr>
    </w:p>
    <w:p w14:paraId="73ED59C4">
      <w:pPr>
        <w:ind w:left="105" w:right="105"/>
      </w:pPr>
    </w:p>
    <w:p w14:paraId="4018C875">
      <w:pPr>
        <w:ind w:left="105" w:right="105"/>
      </w:pPr>
    </w:p>
    <w:p w14:paraId="7CE8E23F">
      <w:pPr>
        <w:ind w:left="105" w:right="105"/>
      </w:pPr>
    </w:p>
    <w:p w14:paraId="21470B4D">
      <w:pPr>
        <w:ind w:left="105" w:right="105"/>
      </w:pPr>
    </w:p>
    <w:p w14:paraId="7414D415">
      <w:pPr>
        <w:ind w:left="105" w:right="105"/>
      </w:pPr>
    </w:p>
    <w:p w14:paraId="5055E682">
      <w:pPr>
        <w:ind w:left="105" w:right="105"/>
      </w:pPr>
    </w:p>
    <w:p w14:paraId="2670EDC7">
      <w:pPr>
        <w:ind w:left="105" w:right="105"/>
      </w:pPr>
    </w:p>
    <w:p w14:paraId="14FB899C">
      <w:pPr>
        <w:ind w:left="105" w:right="105"/>
      </w:pPr>
    </w:p>
    <w:p w14:paraId="13111BFA">
      <w:pPr>
        <w:ind w:left="105" w:right="105"/>
      </w:pPr>
    </w:p>
    <w:p w14:paraId="1F1A718C">
      <w:pPr>
        <w:ind w:left="105" w:right="105"/>
      </w:pPr>
    </w:p>
    <w:p w14:paraId="00C0126F">
      <w:pPr>
        <w:ind w:left="105" w:right="105"/>
      </w:pPr>
    </w:p>
    <w:p w14:paraId="24091B47">
      <w:pPr>
        <w:pStyle w:val="4"/>
        <w:spacing w:before="0" w:after="0" w:line="240" w:lineRule="auto"/>
        <w:ind w:left="105" w:right="105" w:firstLine="103"/>
        <w:rPr>
          <w:rFonts w:ascii="方正仿宋_GBK" w:hAnsi="方正仿宋_GBK" w:eastAsia="方正仿宋_GBK"/>
          <w:sz w:val="21"/>
          <w:szCs w:val="21"/>
        </w:rPr>
      </w:pPr>
      <w:bookmarkStart w:id="188" w:name="_Toc5013"/>
      <w:bookmarkStart w:id="189" w:name="_Toc492300622"/>
      <w:bookmarkStart w:id="190" w:name="_Toc172188100"/>
      <w:r>
        <w:rPr>
          <w:rFonts w:ascii="方正仿宋_GBK" w:hAnsi="方正仿宋_GBK" w:eastAsia="方正仿宋_GBK"/>
          <w:sz w:val="21"/>
          <w:szCs w:val="21"/>
        </w:rPr>
        <w:t>附件</w:t>
      </w:r>
      <w:r>
        <w:rPr>
          <w:rFonts w:hint="eastAsia" w:ascii="方正仿宋_GBK" w:hAnsi="方正仿宋_GBK" w:eastAsia="方正仿宋_GBK"/>
          <w:sz w:val="21"/>
          <w:szCs w:val="21"/>
        </w:rPr>
        <w:t>三</w:t>
      </w:r>
      <w:r>
        <w:rPr>
          <w:rFonts w:ascii="方正仿宋_GBK" w:hAnsi="方正仿宋_GBK" w:eastAsia="方正仿宋_GBK"/>
          <w:sz w:val="21"/>
          <w:szCs w:val="21"/>
        </w:rPr>
        <w:t>：问题的澄清</w:t>
      </w:r>
      <w:bookmarkEnd w:id="188"/>
      <w:bookmarkEnd w:id="189"/>
      <w:bookmarkEnd w:id="190"/>
    </w:p>
    <w:p w14:paraId="0D27EC6C">
      <w:pPr>
        <w:ind w:left="105" w:right="105"/>
        <w:jc w:val="center"/>
        <w:rPr>
          <w:rFonts w:ascii="方正仿宋_GBK" w:hAnsi="方正仿宋_GBK" w:eastAsia="方正仿宋_GBK"/>
          <w:sz w:val="28"/>
        </w:rPr>
      </w:pPr>
    </w:p>
    <w:p w14:paraId="411038ED">
      <w:pPr>
        <w:ind w:left="105" w:right="105"/>
        <w:jc w:val="center"/>
        <w:rPr>
          <w:rFonts w:ascii="方正仿宋_GBK" w:hAnsi="方正仿宋_GBK" w:eastAsia="方正仿宋_GBK"/>
          <w:sz w:val="28"/>
        </w:rPr>
      </w:pPr>
      <w:r>
        <w:rPr>
          <w:rFonts w:ascii="方正仿宋_GBK" w:hAnsi="方正仿宋_GBK" w:eastAsia="方正仿宋_GBK"/>
          <w:sz w:val="28"/>
        </w:rPr>
        <w:t>问题</w:t>
      </w:r>
      <w:bookmarkStart w:id="191" w:name="_Toc361508637"/>
      <w:bookmarkStart w:id="192" w:name="_Toc152045579"/>
      <w:bookmarkStart w:id="193" w:name="_Toc300834999"/>
      <w:bookmarkStart w:id="194" w:name="_Toc247527604"/>
      <w:bookmarkStart w:id="195" w:name="_Toc3622"/>
      <w:bookmarkStart w:id="196" w:name="_Toc352691524"/>
      <w:bookmarkStart w:id="197" w:name="_Toc247514003"/>
      <w:bookmarkStart w:id="198" w:name="_Toc384308263"/>
      <w:bookmarkStart w:id="199" w:name="_Toc152042356"/>
      <w:bookmarkStart w:id="200" w:name="_Toc369531568"/>
      <w:r>
        <w:rPr>
          <w:rFonts w:ascii="方正仿宋_GBK" w:hAnsi="方正仿宋_GBK" w:eastAsia="方正仿宋_GBK"/>
          <w:sz w:val="28"/>
        </w:rPr>
        <w:t>的澄清</w:t>
      </w:r>
    </w:p>
    <w:p w14:paraId="1858DCA4">
      <w:pPr>
        <w:ind w:left="105" w:right="105" w:firstLine="3465" w:firstLineChars="1650"/>
        <w:rPr>
          <w:rFonts w:ascii="方正仿宋_GBK" w:hAnsi="方正仿宋_GBK" w:eastAsia="方正仿宋_GBK"/>
        </w:rPr>
      </w:pPr>
      <w:r>
        <w:rPr>
          <w:rFonts w:ascii="方正仿宋_GBK" w:hAnsi="方正仿宋_GBK" w:eastAsia="方正仿宋_GBK"/>
        </w:rPr>
        <w:t>（编号</w:t>
      </w:r>
      <w:bookmarkEnd w:id="191"/>
      <w:bookmarkEnd w:id="192"/>
      <w:bookmarkEnd w:id="193"/>
      <w:bookmarkEnd w:id="194"/>
      <w:bookmarkEnd w:id="195"/>
      <w:bookmarkEnd w:id="196"/>
      <w:bookmarkEnd w:id="197"/>
      <w:bookmarkEnd w:id="198"/>
      <w:bookmarkEnd w:id="199"/>
      <w:bookmarkEnd w:id="200"/>
      <w:r>
        <w:rPr>
          <w:rFonts w:hint="eastAsia" w:ascii="方正仿宋_GBK" w:hAnsi="方正仿宋_GBK" w:eastAsia="方正仿宋_GBK"/>
        </w:rPr>
        <w:t>：</w:t>
      </w:r>
      <w:r>
        <w:rPr>
          <w:rFonts w:ascii="方正仿宋_GBK" w:hAnsi="方正仿宋_GBK" w:eastAsia="方正仿宋_GBK"/>
          <w:sz w:val="28"/>
          <w:u w:val="single"/>
        </w:rPr>
        <w:t xml:space="preserve">          </w:t>
      </w:r>
      <w:r>
        <w:rPr>
          <w:rFonts w:ascii="方正仿宋_GBK" w:hAnsi="方正仿宋_GBK" w:eastAsia="方正仿宋_GBK"/>
        </w:rPr>
        <w:t>）</w:t>
      </w:r>
    </w:p>
    <w:p w14:paraId="25B2569C">
      <w:pPr>
        <w:ind w:left="105" w:right="105"/>
        <w:rPr>
          <w:rFonts w:ascii="方正仿宋_GBK" w:hAnsi="方正仿宋_GBK" w:eastAsia="方正仿宋_GBK"/>
        </w:rPr>
      </w:pPr>
    </w:p>
    <w:p w14:paraId="1871B5EC">
      <w:pPr>
        <w:ind w:left="105" w:right="105"/>
        <w:rPr>
          <w:rFonts w:ascii="方正仿宋_GBK" w:hAnsi="方正仿宋_GBK" w:eastAsia="方正仿宋_GBK"/>
        </w:rPr>
      </w:pPr>
      <w:r>
        <w:rPr>
          <w:rFonts w:hint="eastAsia" w:ascii="方正仿宋_GBK" w:hAnsi="方正仿宋_GBK" w:eastAsia="方正仿宋_GBK"/>
        </w:rPr>
        <w:t>评审小组</w:t>
      </w:r>
      <w:r>
        <w:rPr>
          <w:rFonts w:ascii="方正仿宋_GBK" w:hAnsi="方正仿宋_GBK" w:eastAsia="方正仿宋_GBK"/>
        </w:rPr>
        <w:t>：</w:t>
      </w:r>
    </w:p>
    <w:p w14:paraId="52821032">
      <w:pPr>
        <w:ind w:left="105" w:right="105"/>
        <w:rPr>
          <w:rFonts w:ascii="方正仿宋_GBK" w:hAnsi="方正仿宋_GBK" w:eastAsia="方正仿宋_GBK"/>
        </w:rPr>
      </w:pPr>
    </w:p>
    <w:p w14:paraId="60B48F5B">
      <w:pPr>
        <w:ind w:left="105" w:right="105" w:firstLine="420" w:firstLineChars="200"/>
        <w:rPr>
          <w:rFonts w:ascii="方正仿宋_GBK" w:hAnsi="方正仿宋_GBK" w:eastAsia="方正仿宋_GBK"/>
        </w:rPr>
      </w:pPr>
      <w:r>
        <w:rPr>
          <w:rFonts w:ascii="方正仿宋_GBK" w:hAnsi="方正仿宋_GBK" w:eastAsia="方正仿宋_GBK"/>
        </w:rPr>
        <w:t>问题澄清通知（编号</w:t>
      </w:r>
      <w:r>
        <w:rPr>
          <w:rFonts w:hint="eastAsia" w:ascii="方正仿宋_GBK" w:hAnsi="方正仿宋_GBK" w:eastAsia="方正仿宋_GBK"/>
        </w:rPr>
        <w:t>：</w:t>
      </w:r>
      <w:r>
        <w:rPr>
          <w:rFonts w:ascii="方正仿宋_GBK" w:hAnsi="方正仿宋_GBK" w:eastAsia="方正仿宋_GBK"/>
          <w:sz w:val="28"/>
          <w:u w:val="single"/>
        </w:rPr>
        <w:t xml:space="preserve">     </w:t>
      </w:r>
      <w:r>
        <w:rPr>
          <w:rFonts w:ascii="方正仿宋_GBK" w:hAnsi="方正仿宋_GBK" w:eastAsia="方正仿宋_GBK"/>
        </w:rPr>
        <w:t>）已收悉，现澄清、说明或补正如下：</w:t>
      </w:r>
    </w:p>
    <w:p w14:paraId="0AF60291">
      <w:pPr>
        <w:ind w:left="105" w:right="105" w:firstLine="420" w:firstLineChars="200"/>
        <w:rPr>
          <w:rFonts w:ascii="方正仿宋_GBK" w:hAnsi="方正仿宋_GBK" w:eastAsia="方正仿宋_GBK"/>
        </w:rPr>
      </w:pPr>
      <w:r>
        <w:rPr>
          <w:rFonts w:ascii="方正仿宋_GBK" w:hAnsi="方正仿宋_GBK" w:eastAsia="方正仿宋_GBK"/>
        </w:rPr>
        <w:t>1.</w:t>
      </w:r>
    </w:p>
    <w:p w14:paraId="29800179">
      <w:pPr>
        <w:ind w:left="105" w:right="105" w:firstLine="420" w:firstLineChars="200"/>
        <w:rPr>
          <w:rFonts w:ascii="方正仿宋_GBK" w:hAnsi="方正仿宋_GBK" w:eastAsia="方正仿宋_GBK"/>
        </w:rPr>
      </w:pPr>
      <w:r>
        <w:rPr>
          <w:rFonts w:ascii="方正仿宋_GBK" w:hAnsi="方正仿宋_GBK" w:eastAsia="方正仿宋_GBK"/>
        </w:rPr>
        <w:t>2.</w:t>
      </w:r>
    </w:p>
    <w:p w14:paraId="3371331B">
      <w:pPr>
        <w:ind w:left="105" w:right="105" w:firstLine="420" w:firstLineChars="200"/>
        <w:rPr>
          <w:rFonts w:ascii="方正仿宋_GBK" w:hAnsi="方正仿宋_GBK" w:eastAsia="方正仿宋_GBK"/>
        </w:rPr>
      </w:pPr>
      <w:r>
        <w:rPr>
          <w:rFonts w:ascii="方正仿宋_GBK" w:hAnsi="方正仿宋_GBK" w:eastAsia="方正仿宋_GBK"/>
        </w:rPr>
        <w:t>.....</w:t>
      </w:r>
    </w:p>
    <w:p w14:paraId="5884494E">
      <w:pPr>
        <w:ind w:left="105" w:right="105" w:firstLine="420" w:firstLineChars="200"/>
        <w:rPr>
          <w:rFonts w:ascii="方正仿宋_GBK" w:hAnsi="方正仿宋_GBK" w:eastAsia="方正仿宋_GBK"/>
        </w:rPr>
      </w:pPr>
    </w:p>
    <w:p w14:paraId="3ED2358D">
      <w:pPr>
        <w:ind w:left="105" w:right="105" w:firstLine="420" w:firstLineChars="200"/>
        <w:rPr>
          <w:rFonts w:ascii="方正仿宋_GBK" w:hAnsi="方正仿宋_GBK" w:eastAsia="方正仿宋_GBK"/>
        </w:rPr>
      </w:pPr>
    </w:p>
    <w:p w14:paraId="6F2240B6">
      <w:pPr>
        <w:ind w:left="105" w:right="105" w:firstLine="420" w:firstLineChars="200"/>
        <w:rPr>
          <w:rFonts w:ascii="方正仿宋_GBK" w:hAnsi="方正仿宋_GBK" w:eastAsia="方正仿宋_GBK"/>
        </w:rPr>
      </w:pPr>
    </w:p>
    <w:p w14:paraId="3D3B748B">
      <w:pPr>
        <w:ind w:left="105" w:right="105" w:firstLine="420" w:firstLineChars="200"/>
        <w:rPr>
          <w:rFonts w:ascii="方正仿宋_GBK" w:hAnsi="方正仿宋_GBK" w:eastAsia="方正仿宋_GBK"/>
        </w:rPr>
      </w:pPr>
      <w:r>
        <w:rPr>
          <w:rFonts w:ascii="方正仿宋_GBK" w:hAnsi="方正仿宋_GBK" w:eastAsia="方正仿宋_GBK"/>
        </w:rPr>
        <w:t>上述问题澄清、说明或补正，不改变我方</w:t>
      </w:r>
      <w:r>
        <w:rPr>
          <w:rFonts w:hint="eastAsia" w:ascii="方正仿宋_GBK" w:hAnsi="方正仿宋_GBK" w:eastAsia="方正仿宋_GBK"/>
        </w:rPr>
        <w:t>竞选文件</w:t>
      </w:r>
      <w:r>
        <w:rPr>
          <w:rFonts w:ascii="方正仿宋_GBK" w:hAnsi="方正仿宋_GBK" w:eastAsia="方正仿宋_GBK"/>
        </w:rPr>
        <w:t>的实质性内容，构成我方</w:t>
      </w:r>
      <w:r>
        <w:rPr>
          <w:rFonts w:hint="eastAsia" w:ascii="方正仿宋_GBK" w:hAnsi="方正仿宋_GBK" w:eastAsia="方正仿宋_GBK"/>
        </w:rPr>
        <w:t>竞选文件</w:t>
      </w:r>
      <w:r>
        <w:rPr>
          <w:rFonts w:ascii="方正仿宋_GBK" w:hAnsi="方正仿宋_GBK" w:eastAsia="方正仿宋_GBK"/>
        </w:rPr>
        <w:t>的组成部分。</w:t>
      </w:r>
    </w:p>
    <w:p w14:paraId="125BA962">
      <w:pPr>
        <w:ind w:left="105" w:right="105" w:firstLine="420" w:firstLineChars="200"/>
        <w:rPr>
          <w:rFonts w:ascii="方正仿宋_GBK" w:hAnsi="方正仿宋_GBK" w:eastAsia="方正仿宋_GBK"/>
        </w:rPr>
      </w:pPr>
    </w:p>
    <w:p w14:paraId="671A0250">
      <w:pPr>
        <w:ind w:left="105" w:right="105" w:firstLine="420" w:firstLineChars="200"/>
        <w:rPr>
          <w:rFonts w:ascii="方正仿宋_GBK" w:hAnsi="方正仿宋_GBK" w:eastAsia="方正仿宋_GBK"/>
        </w:rPr>
      </w:pPr>
    </w:p>
    <w:p w14:paraId="750FF45F">
      <w:pPr>
        <w:tabs>
          <w:tab w:val="left" w:pos="7035"/>
        </w:tabs>
        <w:ind w:left="105" w:right="105" w:firstLine="2551" w:firstLineChars="1215"/>
        <w:jc w:val="right"/>
        <w:rPr>
          <w:rFonts w:ascii="方正仿宋_GBK" w:hAnsi="方正仿宋_GBK" w:eastAsia="方正仿宋_GBK"/>
        </w:rPr>
      </w:pPr>
      <w:r>
        <w:rPr>
          <w:rFonts w:hint="eastAsia" w:ascii="方正仿宋_GBK" w:hAnsi="方正仿宋_GBK" w:eastAsia="方正仿宋_GBK"/>
        </w:rPr>
        <w:t>竞选人：</w:t>
      </w:r>
      <w:r>
        <w:rPr>
          <w:rFonts w:hint="eastAsia" w:ascii="方正仿宋_GBK" w:hAnsi="方正仿宋_GBK" w:eastAsia="方正仿宋_GBK"/>
          <w:w w:val="200"/>
          <w:u w:val="single"/>
        </w:rPr>
        <w:t xml:space="preserve">          </w:t>
      </w:r>
      <w:r>
        <w:rPr>
          <w:rFonts w:ascii="方正仿宋_GBK" w:hAnsi="方正仿宋_GBK" w:eastAsia="方正仿宋_GBK"/>
        </w:rPr>
        <w:t xml:space="preserve">（盖单位法人章） </w:t>
      </w:r>
    </w:p>
    <w:p w14:paraId="38D8063E">
      <w:pPr>
        <w:tabs>
          <w:tab w:val="left" w:pos="6620"/>
          <w:tab w:val="left" w:pos="7040"/>
        </w:tabs>
        <w:ind w:left="105" w:right="105" w:firstLine="2520" w:firstLineChars="1200"/>
        <w:rPr>
          <w:rFonts w:ascii="方正仿宋_GBK" w:hAnsi="方正仿宋_GBK" w:eastAsia="方正仿宋_GBK"/>
        </w:rPr>
      </w:pPr>
      <w:r>
        <w:rPr>
          <w:rFonts w:ascii="方正仿宋_GBK" w:hAnsi="方正仿宋_GBK" w:eastAsia="方正仿宋_GBK"/>
        </w:rPr>
        <w:t>法定代表人或其委托代理人</w:t>
      </w:r>
      <w:r>
        <w:rPr>
          <w:rFonts w:hint="eastAsia" w:ascii="方正仿宋_GBK" w:hAnsi="方正仿宋_GBK" w:eastAsia="方正仿宋_GBK"/>
        </w:rPr>
        <w:t>：</w:t>
      </w:r>
      <w:r>
        <w:rPr>
          <w:rFonts w:hint="eastAsia" w:ascii="方正仿宋_GBK" w:hAnsi="方正仿宋_GBK" w:eastAsia="方正仿宋_GBK"/>
          <w:w w:val="200"/>
          <w:u w:val="single"/>
        </w:rPr>
        <w:t xml:space="preserve">       </w:t>
      </w:r>
      <w:r>
        <w:rPr>
          <w:rFonts w:ascii="方正仿宋_GBK" w:hAnsi="方正仿宋_GBK" w:eastAsia="方正仿宋_GBK"/>
        </w:rPr>
        <w:t>（</w:t>
      </w:r>
      <w:r>
        <w:rPr>
          <w:rFonts w:hint="eastAsia" w:ascii="方正仿宋_GBK" w:hAnsi="方正仿宋_GBK" w:eastAsia="方正仿宋_GBK"/>
        </w:rPr>
        <w:t>签名</w:t>
      </w:r>
      <w:r>
        <w:rPr>
          <w:rFonts w:ascii="方正仿宋_GBK" w:hAnsi="方正仿宋_GBK" w:eastAsia="方正仿宋_GBK"/>
        </w:rPr>
        <w:t>或盖章）</w:t>
      </w:r>
    </w:p>
    <w:p w14:paraId="1FF0361B">
      <w:pPr>
        <w:ind w:left="105" w:right="105" w:firstLine="3570" w:firstLineChars="1700"/>
        <w:rPr>
          <w:rFonts w:ascii="方正仿宋_GBK" w:hAnsi="方正仿宋_GBK" w:eastAsia="方正仿宋_GBK"/>
        </w:rPr>
      </w:pP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年</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月</w:t>
      </w:r>
      <w:r>
        <w:rPr>
          <w:rFonts w:ascii="方正仿宋_GBK" w:hAnsi="方正仿宋_GBK" w:eastAsia="方正仿宋_GBK"/>
          <w:u w:val="single"/>
        </w:rPr>
        <w:t xml:space="preserve"> </w:t>
      </w:r>
      <w:r>
        <w:rPr>
          <w:rFonts w:hint="eastAsia" w:ascii="方正仿宋_GBK" w:hAnsi="方正仿宋_GBK" w:eastAsia="方正仿宋_GBK"/>
          <w:u w:val="single"/>
        </w:rPr>
        <w:t xml:space="preserve">    </w:t>
      </w:r>
      <w:r>
        <w:rPr>
          <w:rFonts w:ascii="方正仿宋_GBK" w:hAnsi="方正仿宋_GBK" w:eastAsia="方正仿宋_GBK"/>
        </w:rPr>
        <w:t>日</w:t>
      </w:r>
    </w:p>
    <w:p w14:paraId="062DB245">
      <w:pPr>
        <w:ind w:left="48" w:leftChars="23" w:right="105"/>
        <w:jc w:val="left"/>
        <w:rPr>
          <w:rFonts w:ascii="方正仿宋_GBK" w:hAnsi="方正仿宋_GBK" w:eastAsia="方正仿宋_GBK"/>
        </w:rPr>
      </w:pPr>
    </w:p>
    <w:p w14:paraId="41DA22D2">
      <w:pPr>
        <w:ind w:left="48" w:leftChars="23" w:right="105"/>
        <w:jc w:val="left"/>
        <w:rPr>
          <w:rFonts w:ascii="方正仿宋_GBK" w:hAnsi="方正仿宋_GBK" w:eastAsia="方正仿宋_GBK"/>
        </w:rPr>
      </w:pPr>
    </w:p>
    <w:p w14:paraId="5DBB2905">
      <w:pPr>
        <w:ind w:left="48" w:leftChars="23" w:right="105"/>
        <w:jc w:val="left"/>
        <w:rPr>
          <w:rFonts w:ascii="方正仿宋_GBK" w:hAnsi="方正仿宋_GBK" w:eastAsia="方正仿宋_GBK"/>
        </w:rPr>
      </w:pPr>
    </w:p>
    <w:p w14:paraId="0648C0D9">
      <w:pPr>
        <w:ind w:left="48" w:leftChars="23" w:right="105"/>
        <w:jc w:val="left"/>
        <w:rPr>
          <w:rFonts w:ascii="方正仿宋_GBK" w:hAnsi="方正仿宋_GBK" w:eastAsia="方正仿宋_GBK"/>
        </w:rPr>
      </w:pPr>
    </w:p>
    <w:p w14:paraId="5DE59808">
      <w:pPr>
        <w:ind w:left="48" w:leftChars="23" w:right="105"/>
        <w:jc w:val="left"/>
        <w:rPr>
          <w:rFonts w:ascii="方正仿宋_GBK" w:hAnsi="方正仿宋_GBK" w:eastAsia="方正仿宋_GBK"/>
        </w:rPr>
      </w:pPr>
    </w:p>
    <w:p w14:paraId="2BD59C3D">
      <w:pPr>
        <w:ind w:left="48" w:leftChars="23" w:right="105"/>
        <w:jc w:val="left"/>
        <w:rPr>
          <w:rFonts w:ascii="方正仿宋_GBK" w:hAnsi="方正仿宋_GBK" w:eastAsia="方正仿宋_GBK"/>
        </w:rPr>
      </w:pPr>
    </w:p>
    <w:p w14:paraId="109BCCBD">
      <w:pPr>
        <w:ind w:left="48" w:leftChars="23" w:right="105"/>
        <w:jc w:val="left"/>
        <w:rPr>
          <w:rFonts w:ascii="方正仿宋_GBK" w:hAnsi="方正仿宋_GBK" w:eastAsia="方正仿宋_GBK"/>
        </w:rPr>
      </w:pPr>
    </w:p>
    <w:p w14:paraId="65F13F92">
      <w:pPr>
        <w:ind w:left="48" w:leftChars="23" w:right="105"/>
        <w:jc w:val="left"/>
        <w:rPr>
          <w:rFonts w:ascii="方正仿宋_GBK" w:hAnsi="方正仿宋_GBK" w:eastAsia="方正仿宋_GBK"/>
        </w:rPr>
      </w:pPr>
    </w:p>
    <w:p w14:paraId="2EBCE93A">
      <w:pPr>
        <w:ind w:left="48" w:leftChars="23" w:right="105"/>
        <w:jc w:val="left"/>
        <w:rPr>
          <w:rFonts w:ascii="方正仿宋_GBK" w:hAnsi="方正仿宋_GBK" w:eastAsia="方正仿宋_GBK"/>
        </w:rPr>
      </w:pPr>
    </w:p>
    <w:p w14:paraId="1D95A75D">
      <w:pPr>
        <w:ind w:left="48" w:leftChars="23" w:right="105"/>
        <w:jc w:val="left"/>
        <w:rPr>
          <w:rFonts w:ascii="方正仿宋_GBK" w:hAnsi="方正仿宋_GBK" w:eastAsia="方正仿宋_GBK"/>
        </w:rPr>
      </w:pPr>
    </w:p>
    <w:p w14:paraId="3F31C611">
      <w:pPr>
        <w:ind w:left="48" w:leftChars="23" w:right="105"/>
        <w:jc w:val="left"/>
        <w:rPr>
          <w:rFonts w:ascii="方正仿宋_GBK" w:hAnsi="方正仿宋_GBK" w:eastAsia="方正仿宋_GBK"/>
        </w:rPr>
      </w:pPr>
    </w:p>
    <w:p w14:paraId="1D69932D">
      <w:pPr>
        <w:ind w:left="48" w:leftChars="23" w:right="105"/>
        <w:jc w:val="left"/>
        <w:rPr>
          <w:rFonts w:ascii="方正仿宋_GBK" w:hAnsi="方正仿宋_GBK" w:eastAsia="方正仿宋_GBK"/>
        </w:rPr>
      </w:pPr>
    </w:p>
    <w:p w14:paraId="16C03025">
      <w:pPr>
        <w:ind w:left="48" w:leftChars="23" w:right="105"/>
        <w:jc w:val="left"/>
        <w:rPr>
          <w:rFonts w:ascii="方正仿宋_GBK" w:hAnsi="方正仿宋_GBK" w:eastAsia="方正仿宋_GBK"/>
        </w:rPr>
      </w:pPr>
    </w:p>
    <w:p w14:paraId="7EDE82E2">
      <w:pPr>
        <w:ind w:left="48" w:leftChars="23" w:right="105"/>
        <w:jc w:val="left"/>
        <w:rPr>
          <w:rFonts w:ascii="方正仿宋_GBK" w:hAnsi="方正仿宋_GBK" w:eastAsia="方正仿宋_GBK"/>
        </w:rPr>
      </w:pPr>
    </w:p>
    <w:p w14:paraId="4A20CC07">
      <w:pPr>
        <w:ind w:left="48" w:leftChars="23" w:right="105"/>
        <w:jc w:val="left"/>
        <w:rPr>
          <w:rFonts w:ascii="方正仿宋_GBK" w:hAnsi="方正仿宋_GBK" w:eastAsia="方正仿宋_GBK"/>
        </w:rPr>
      </w:pPr>
    </w:p>
    <w:p w14:paraId="11502435">
      <w:pPr>
        <w:ind w:left="48" w:leftChars="23" w:right="105"/>
        <w:jc w:val="left"/>
        <w:rPr>
          <w:rFonts w:ascii="方正仿宋_GBK" w:hAnsi="方正仿宋_GBK" w:eastAsia="方正仿宋_GBK"/>
        </w:rPr>
      </w:pPr>
    </w:p>
    <w:p w14:paraId="4D85E0B2">
      <w:pPr>
        <w:ind w:left="48" w:leftChars="23" w:right="105"/>
        <w:jc w:val="left"/>
        <w:rPr>
          <w:rFonts w:ascii="方正仿宋_GBK" w:hAnsi="方正仿宋_GBK" w:eastAsia="方正仿宋_GBK"/>
        </w:rPr>
      </w:pPr>
    </w:p>
    <w:p w14:paraId="0FFB3CB0">
      <w:pPr>
        <w:ind w:left="48" w:leftChars="23" w:right="105"/>
        <w:jc w:val="left"/>
        <w:rPr>
          <w:rFonts w:ascii="方正仿宋_GBK" w:hAnsi="方正仿宋_GBK" w:eastAsia="方正仿宋_GBK"/>
        </w:rPr>
      </w:pPr>
    </w:p>
    <w:p w14:paraId="630A738D">
      <w:pPr>
        <w:ind w:left="48" w:leftChars="23" w:right="105"/>
        <w:jc w:val="left"/>
        <w:rPr>
          <w:rFonts w:ascii="方正仿宋_GBK" w:hAnsi="方正仿宋_GBK" w:eastAsia="方正仿宋_GBK"/>
        </w:rPr>
      </w:pPr>
    </w:p>
    <w:p w14:paraId="735AD7FF">
      <w:pPr>
        <w:ind w:left="48" w:leftChars="23" w:right="105"/>
        <w:jc w:val="left"/>
        <w:rPr>
          <w:rFonts w:ascii="方正仿宋_GBK" w:hAnsi="方正仿宋_GBK" w:eastAsia="方正仿宋_GBK"/>
        </w:rPr>
      </w:pPr>
    </w:p>
    <w:p w14:paraId="582677CE">
      <w:pPr>
        <w:ind w:left="48" w:leftChars="23" w:right="105"/>
        <w:jc w:val="left"/>
        <w:rPr>
          <w:rFonts w:ascii="方正仿宋_GBK" w:hAnsi="方正仿宋_GBK" w:eastAsia="方正仿宋_GBK"/>
        </w:rPr>
      </w:pPr>
    </w:p>
    <w:p w14:paraId="7CECB3D8">
      <w:pPr>
        <w:ind w:left="48" w:leftChars="23" w:right="105"/>
        <w:jc w:val="left"/>
        <w:rPr>
          <w:rFonts w:ascii="方正仿宋_GBK" w:hAnsi="方正仿宋_GBK" w:eastAsia="方正仿宋_GBK"/>
        </w:rPr>
      </w:pPr>
    </w:p>
    <w:p w14:paraId="1C5FC413">
      <w:pPr>
        <w:ind w:left="48" w:leftChars="23" w:right="105"/>
        <w:jc w:val="left"/>
        <w:rPr>
          <w:rFonts w:ascii="方正仿宋_GBK" w:hAnsi="方正仿宋_GBK" w:eastAsia="方正仿宋_GBK"/>
        </w:rPr>
      </w:pPr>
    </w:p>
    <w:p w14:paraId="29BD81F4">
      <w:pPr>
        <w:ind w:left="105" w:right="105"/>
        <w:rPr>
          <w:rFonts w:ascii="方正仿宋_GBK" w:hAnsi="方正仿宋_GBK" w:eastAsia="方正仿宋_GBK"/>
          <w:b/>
          <w:bCs/>
        </w:rPr>
      </w:pPr>
      <w:r>
        <w:rPr>
          <w:rFonts w:ascii="方正仿宋_GBK" w:hAnsi="方正仿宋_GBK" w:eastAsia="方正仿宋_GBK"/>
          <w:b/>
          <w:bCs/>
        </w:rPr>
        <w:t>附件四</w:t>
      </w:r>
      <w:r>
        <w:rPr>
          <w:rFonts w:hint="eastAsia" w:ascii="方正仿宋_GBK" w:hAnsi="方正仿宋_GBK" w:eastAsia="方正仿宋_GBK"/>
          <w:b/>
          <w:bCs/>
        </w:rPr>
        <w:t>：成交通知书</w:t>
      </w:r>
    </w:p>
    <w:p w14:paraId="37E82D66">
      <w:pPr>
        <w:pStyle w:val="6"/>
        <w:ind w:left="105" w:right="105"/>
        <w:rPr>
          <w:rFonts w:ascii="方正仿宋_GBK" w:hAnsi="方正仿宋_GBK" w:eastAsia="方正仿宋_GBK"/>
          <w:color w:val="auto"/>
        </w:rPr>
      </w:pPr>
    </w:p>
    <w:p w14:paraId="618E2BD6">
      <w:pPr>
        <w:pStyle w:val="6"/>
        <w:ind w:left="105" w:right="105"/>
        <w:rPr>
          <w:rFonts w:ascii="方正仿宋_GBK" w:hAnsi="方正仿宋_GBK" w:eastAsia="方正仿宋_GBK"/>
          <w:color w:val="auto"/>
        </w:rPr>
      </w:pPr>
    </w:p>
    <w:p w14:paraId="0433CBF9">
      <w:pPr>
        <w:ind w:left="105" w:right="105"/>
        <w:jc w:val="center"/>
        <w:rPr>
          <w:rFonts w:ascii="方正仿宋_GBK" w:hAnsi="方正仿宋_GBK" w:eastAsia="方正仿宋_GBK" w:cs="Times New Roman"/>
          <w:sz w:val="28"/>
        </w:rPr>
      </w:pPr>
      <w:r>
        <w:rPr>
          <w:rFonts w:hint="eastAsia" w:ascii="方正仿宋_GBK" w:hAnsi="方正仿宋_GBK" w:eastAsia="方正仿宋_GBK" w:cs="Times New Roman"/>
          <w:sz w:val="28"/>
        </w:rPr>
        <w:t>成交通知书</w:t>
      </w:r>
    </w:p>
    <w:p w14:paraId="72F67F80">
      <w:pPr>
        <w:pStyle w:val="6"/>
        <w:ind w:left="105" w:right="105"/>
        <w:rPr>
          <w:rFonts w:ascii="方正仿宋_GBK" w:hAnsi="方正仿宋_GBK" w:eastAsia="方正仿宋_GBK" w:cstheme="minorEastAsia"/>
          <w:color w:val="auto"/>
        </w:rPr>
      </w:pPr>
    </w:p>
    <w:p w14:paraId="6513397F">
      <w:pPr>
        <w:pStyle w:val="6"/>
        <w:ind w:left="105" w:right="105"/>
        <w:rPr>
          <w:rFonts w:ascii="方正仿宋_GBK" w:hAnsi="方正仿宋_GBK" w:eastAsia="方正仿宋_GBK" w:cstheme="minorEastAsia"/>
          <w:color w:val="auto"/>
        </w:rPr>
      </w:pP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（成交竞选人名称）：</w:t>
      </w:r>
    </w:p>
    <w:p w14:paraId="6D71009F">
      <w:pPr>
        <w:pStyle w:val="6"/>
        <w:ind w:left="105" w:right="105" w:firstLine="420" w:firstLineChars="200"/>
        <w:rPr>
          <w:rFonts w:ascii="方正仿宋_GBK" w:hAnsi="方正仿宋_GBK" w:eastAsia="方正仿宋_GBK" w:cstheme="minorEastAsia"/>
          <w:color w:val="auto"/>
        </w:rPr>
      </w:pPr>
      <w:r>
        <w:rPr>
          <w:rFonts w:hint="eastAsia" w:ascii="方正仿宋_GBK" w:hAnsi="方正仿宋_GBK" w:eastAsia="方正仿宋_GBK" w:cstheme="minorEastAsia"/>
          <w:color w:val="auto"/>
        </w:rPr>
        <w:t>你方于</w:t>
      </w: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（竞选日期） 所递交的</w:t>
      </w: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（项目名称）竞选文件已被我方接受，被确定为成交人。</w:t>
      </w:r>
    </w:p>
    <w:p w14:paraId="52CF6D1C">
      <w:pPr>
        <w:pStyle w:val="6"/>
        <w:ind w:left="105" w:right="105" w:firstLine="420" w:firstLineChars="200"/>
        <w:rPr>
          <w:rFonts w:ascii="方正仿宋_GBK" w:hAnsi="方正仿宋_GBK" w:eastAsia="方正仿宋_GBK" w:cstheme="minorEastAsia"/>
          <w:color w:val="auto"/>
        </w:rPr>
      </w:pPr>
      <w:r>
        <w:rPr>
          <w:rFonts w:hint="eastAsia" w:ascii="方正仿宋_GBK" w:hAnsi="方正仿宋_GBK" w:eastAsia="方正仿宋_GBK" w:cstheme="minorEastAsia"/>
          <w:color w:val="auto"/>
        </w:rPr>
        <w:t>成交价：</w:t>
      </w: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元（大写：</w:t>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w:t>
      </w:r>
    </w:p>
    <w:p w14:paraId="373FC338">
      <w:pPr>
        <w:pStyle w:val="6"/>
        <w:ind w:left="105" w:right="105" w:firstLine="420" w:firstLineChars="200"/>
        <w:rPr>
          <w:rFonts w:ascii="方正仿宋_GBK" w:hAnsi="方正仿宋_GBK" w:eastAsia="方正仿宋_GBK" w:cstheme="minorEastAsia"/>
          <w:color w:val="auto"/>
        </w:rPr>
      </w:pPr>
      <w:r>
        <w:rPr>
          <w:rFonts w:hint="eastAsia" w:ascii="方正仿宋_GBK" w:hAnsi="方正仿宋_GBK" w:eastAsia="方正仿宋_GBK" w:cstheme="minorEastAsia"/>
          <w:color w:val="auto"/>
        </w:rPr>
        <w:t>请你方在接到本通知书后的</w:t>
      </w: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日内到</w:t>
      </w: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（指定地点） 与我方签订合同，并按比选文件第二章“竞选人须知”第 7.6.1 款规定向我方提交履约保证金</w:t>
      </w:r>
      <w:r>
        <w:rPr>
          <w:rFonts w:hint="eastAsia" w:ascii="方正仿宋_GBK" w:hAnsi="方正仿宋_GBK" w:eastAsia="方正仿宋_GBK" w:cstheme="minorEastAsia"/>
          <w:color w:val="auto"/>
          <w:lang w:eastAsia="zh-CN"/>
        </w:rPr>
        <w:t>（若有）</w:t>
      </w:r>
      <w:r>
        <w:rPr>
          <w:rFonts w:hint="eastAsia" w:ascii="方正仿宋_GBK" w:hAnsi="方正仿宋_GBK" w:eastAsia="方正仿宋_GBK" w:cstheme="minorEastAsia"/>
          <w:color w:val="auto"/>
        </w:rPr>
        <w:t>。</w:t>
      </w:r>
    </w:p>
    <w:p w14:paraId="0EE7D5FF">
      <w:pPr>
        <w:pStyle w:val="6"/>
        <w:ind w:left="105" w:right="105" w:firstLine="420" w:firstLineChars="200"/>
        <w:rPr>
          <w:rFonts w:ascii="方正仿宋_GBK" w:hAnsi="方正仿宋_GBK" w:eastAsia="方正仿宋_GBK" w:cstheme="minorEastAsia"/>
          <w:color w:val="auto"/>
        </w:rPr>
      </w:pPr>
      <w:r>
        <w:rPr>
          <w:rFonts w:hint="eastAsia" w:ascii="方正仿宋_GBK" w:hAnsi="方正仿宋_GBK" w:eastAsia="方正仿宋_GBK" w:cstheme="minorEastAsia"/>
          <w:color w:val="auto"/>
        </w:rPr>
        <w:t>特此通知。</w:t>
      </w:r>
    </w:p>
    <w:p w14:paraId="24321383">
      <w:pPr>
        <w:pStyle w:val="6"/>
        <w:ind w:left="105" w:right="105"/>
        <w:rPr>
          <w:rFonts w:ascii="方正仿宋_GBK" w:hAnsi="方正仿宋_GBK" w:eastAsia="方正仿宋_GBK" w:cstheme="minorEastAsia"/>
          <w:color w:val="auto"/>
        </w:rPr>
      </w:pPr>
    </w:p>
    <w:p w14:paraId="19E0866D">
      <w:pPr>
        <w:pStyle w:val="6"/>
        <w:ind w:left="105" w:right="105"/>
        <w:jc w:val="right"/>
        <w:rPr>
          <w:rFonts w:ascii="方正仿宋_GBK" w:hAnsi="方正仿宋_GBK" w:eastAsia="方正仿宋_GBK" w:cstheme="minorEastAsia"/>
          <w:color w:val="auto"/>
        </w:rPr>
      </w:pPr>
      <w:r>
        <w:rPr>
          <w:rFonts w:hint="eastAsia" w:ascii="方正仿宋_GBK" w:hAnsi="方正仿宋_GBK" w:eastAsia="方正仿宋_GBK" w:cstheme="minorEastAsia"/>
          <w:color w:val="auto"/>
        </w:rPr>
        <w:t>比选人：</w:t>
      </w: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（盖单位章）</w:t>
      </w:r>
    </w:p>
    <w:p w14:paraId="6C309267">
      <w:pPr>
        <w:pStyle w:val="6"/>
        <w:ind w:left="105" w:right="105"/>
        <w:jc w:val="right"/>
        <w:rPr>
          <w:rFonts w:hint="eastAsia" w:ascii="方正仿宋_GBK" w:hAnsi="方正仿宋_GBK" w:eastAsia="方正仿宋_GBK" w:cstheme="minorEastAsia"/>
          <w:color w:val="auto"/>
        </w:rPr>
      </w:pP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年</w:t>
      </w: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月</w:t>
      </w:r>
      <w:r>
        <w:rPr>
          <w:rFonts w:hint="eastAsia" w:ascii="方正仿宋_GBK" w:hAnsi="方正仿宋_GBK" w:eastAsia="方正仿宋_GBK" w:cstheme="minorEastAsia"/>
          <w:color w:val="auto"/>
          <w:u w:val="single"/>
        </w:rPr>
        <w:tab/>
      </w:r>
      <w:r>
        <w:rPr>
          <w:rFonts w:hint="eastAsia" w:ascii="方正仿宋_GBK" w:hAnsi="方正仿宋_GBK" w:eastAsia="方正仿宋_GBK" w:cstheme="minorEastAsia"/>
          <w:color w:val="auto"/>
          <w:u w:val="single"/>
        </w:rPr>
        <w:t xml:space="preserve">    </w:t>
      </w:r>
      <w:r>
        <w:rPr>
          <w:rFonts w:hint="eastAsia" w:ascii="方正仿宋_GBK" w:hAnsi="方正仿宋_GBK" w:eastAsia="方正仿宋_GBK" w:cstheme="minorEastAsia"/>
          <w:color w:val="auto"/>
        </w:rPr>
        <w:t>日</w:t>
      </w:r>
      <w:bookmarkStart w:id="201" w:name="_bookmark80"/>
      <w:bookmarkEnd w:id="201"/>
      <w:bookmarkStart w:id="202" w:name="_bookmark81"/>
      <w:bookmarkEnd w:id="202"/>
      <w:bookmarkStart w:id="203" w:name="_Toc27221"/>
      <w:bookmarkStart w:id="204" w:name="_Toc6135"/>
      <w:bookmarkStart w:id="205" w:name="_Toc144974567"/>
      <w:bookmarkStart w:id="206" w:name="_Toc379581361"/>
      <w:bookmarkStart w:id="207" w:name="_Toc152042377"/>
      <w:bookmarkStart w:id="208" w:name="_Toc152045600"/>
      <w:bookmarkStart w:id="209" w:name="_Toc49247698"/>
      <w:bookmarkStart w:id="210" w:name="_Toc330213998"/>
    </w:p>
    <w:p w14:paraId="531C0313">
      <w:pPr>
        <w:pStyle w:val="6"/>
        <w:ind w:left="105" w:right="105"/>
        <w:jc w:val="right"/>
        <w:rPr>
          <w:rFonts w:hint="eastAsia" w:ascii="方正仿宋_GBK" w:hAnsi="方正仿宋_GBK" w:eastAsia="方正仿宋_GBK" w:cstheme="minorEastAsia"/>
          <w:color w:val="auto"/>
        </w:rPr>
      </w:pPr>
    </w:p>
    <w:p w14:paraId="68EFF7B2">
      <w:pPr>
        <w:pStyle w:val="6"/>
        <w:ind w:left="105" w:right="105"/>
        <w:jc w:val="right"/>
        <w:rPr>
          <w:rFonts w:hint="eastAsia" w:ascii="方正仿宋_GBK" w:hAnsi="方正仿宋_GBK" w:eastAsia="方正仿宋_GBK" w:cstheme="minorEastAsia"/>
          <w:color w:val="auto"/>
        </w:rPr>
      </w:pPr>
    </w:p>
    <w:p w14:paraId="3BC2E710">
      <w:pPr>
        <w:pStyle w:val="6"/>
        <w:ind w:left="105" w:right="105"/>
        <w:jc w:val="right"/>
        <w:rPr>
          <w:rFonts w:hint="eastAsia" w:ascii="方正仿宋_GBK" w:hAnsi="方正仿宋_GBK" w:eastAsia="方正仿宋_GBK" w:cstheme="minorEastAsia"/>
          <w:color w:val="auto"/>
        </w:rPr>
      </w:pPr>
    </w:p>
    <w:p w14:paraId="1FCB5355">
      <w:pPr>
        <w:pStyle w:val="6"/>
        <w:ind w:left="105" w:right="105"/>
        <w:jc w:val="right"/>
        <w:rPr>
          <w:rFonts w:hint="eastAsia" w:ascii="方正仿宋_GBK" w:hAnsi="方正仿宋_GBK" w:eastAsia="方正仿宋_GBK" w:cstheme="minorEastAsia"/>
          <w:color w:val="auto"/>
        </w:rPr>
      </w:pPr>
    </w:p>
    <w:p w14:paraId="108F8F60">
      <w:pPr>
        <w:pStyle w:val="6"/>
        <w:ind w:left="105" w:right="105"/>
        <w:jc w:val="right"/>
        <w:rPr>
          <w:rFonts w:hint="eastAsia" w:ascii="方正仿宋_GBK" w:hAnsi="方正仿宋_GBK" w:eastAsia="方正仿宋_GBK" w:cstheme="minorEastAsia"/>
          <w:color w:val="auto"/>
        </w:rPr>
      </w:pPr>
    </w:p>
    <w:p w14:paraId="3C9EB2CB">
      <w:pPr>
        <w:pStyle w:val="6"/>
        <w:ind w:left="105" w:right="105"/>
        <w:jc w:val="right"/>
        <w:rPr>
          <w:rFonts w:hint="eastAsia" w:ascii="方正仿宋_GBK" w:hAnsi="方正仿宋_GBK" w:eastAsia="方正仿宋_GBK" w:cstheme="minorEastAsia"/>
          <w:color w:val="auto"/>
        </w:rPr>
      </w:pPr>
    </w:p>
    <w:p w14:paraId="5AF2AE33">
      <w:pPr>
        <w:pStyle w:val="6"/>
        <w:ind w:left="105" w:right="105"/>
        <w:jc w:val="right"/>
        <w:rPr>
          <w:rFonts w:hint="eastAsia" w:ascii="方正仿宋_GBK" w:hAnsi="方正仿宋_GBK" w:eastAsia="方正仿宋_GBK" w:cstheme="minorEastAsia"/>
          <w:color w:val="auto"/>
        </w:rPr>
      </w:pPr>
    </w:p>
    <w:p w14:paraId="584A39C7">
      <w:pPr>
        <w:pStyle w:val="6"/>
        <w:ind w:left="105" w:right="105"/>
        <w:jc w:val="right"/>
        <w:rPr>
          <w:rFonts w:hint="eastAsia" w:ascii="方正仿宋_GBK" w:hAnsi="方正仿宋_GBK" w:eastAsia="方正仿宋_GBK" w:cstheme="minorEastAsia"/>
          <w:color w:val="auto"/>
        </w:rPr>
      </w:pPr>
    </w:p>
    <w:p w14:paraId="697C1EC5">
      <w:pPr>
        <w:pStyle w:val="6"/>
        <w:ind w:left="105" w:right="105"/>
        <w:jc w:val="right"/>
        <w:rPr>
          <w:rFonts w:hint="eastAsia" w:ascii="方正仿宋_GBK" w:hAnsi="方正仿宋_GBK" w:eastAsia="方正仿宋_GBK" w:cstheme="minorEastAsia"/>
          <w:color w:val="auto"/>
        </w:rPr>
      </w:pPr>
    </w:p>
    <w:p w14:paraId="3EF4600A">
      <w:pPr>
        <w:pStyle w:val="6"/>
        <w:ind w:left="105" w:right="105"/>
        <w:jc w:val="right"/>
        <w:rPr>
          <w:rFonts w:hint="eastAsia" w:ascii="方正仿宋_GBK" w:hAnsi="方正仿宋_GBK" w:eastAsia="方正仿宋_GBK" w:cstheme="minorEastAsia"/>
          <w:color w:val="auto"/>
        </w:rPr>
      </w:pPr>
    </w:p>
    <w:p w14:paraId="490FF941">
      <w:pPr>
        <w:pStyle w:val="6"/>
        <w:ind w:left="105" w:right="105"/>
        <w:jc w:val="right"/>
        <w:rPr>
          <w:rFonts w:hint="eastAsia" w:ascii="方正仿宋_GBK" w:hAnsi="方正仿宋_GBK" w:eastAsia="方正仿宋_GBK" w:cstheme="minorEastAsia"/>
          <w:color w:val="auto"/>
        </w:rPr>
      </w:pPr>
    </w:p>
    <w:p w14:paraId="52511838">
      <w:pPr>
        <w:pStyle w:val="6"/>
        <w:ind w:left="105" w:right="105"/>
        <w:jc w:val="right"/>
        <w:rPr>
          <w:rFonts w:hint="eastAsia" w:ascii="方正仿宋_GBK" w:hAnsi="方正仿宋_GBK" w:eastAsia="方正仿宋_GBK" w:cstheme="minorEastAsia"/>
          <w:color w:val="auto"/>
        </w:rPr>
      </w:pPr>
    </w:p>
    <w:p w14:paraId="07123FAF">
      <w:pPr>
        <w:pStyle w:val="6"/>
        <w:ind w:left="105" w:right="105"/>
        <w:jc w:val="right"/>
        <w:rPr>
          <w:rFonts w:hint="eastAsia" w:ascii="方正仿宋_GBK" w:hAnsi="方正仿宋_GBK" w:eastAsia="方正仿宋_GBK" w:cstheme="minorEastAsia"/>
          <w:color w:val="auto"/>
        </w:rPr>
      </w:pPr>
    </w:p>
    <w:p w14:paraId="341A4585">
      <w:pPr>
        <w:pStyle w:val="6"/>
        <w:ind w:left="105" w:right="105"/>
        <w:jc w:val="right"/>
        <w:rPr>
          <w:rFonts w:hint="eastAsia" w:ascii="方正仿宋_GBK" w:hAnsi="方正仿宋_GBK" w:eastAsia="方正仿宋_GBK" w:cstheme="minorEastAsia"/>
          <w:color w:val="auto"/>
        </w:rPr>
      </w:pPr>
    </w:p>
    <w:p w14:paraId="274C1E7B">
      <w:pPr>
        <w:pStyle w:val="6"/>
        <w:ind w:left="105" w:right="105"/>
        <w:jc w:val="right"/>
        <w:rPr>
          <w:rFonts w:hint="eastAsia" w:ascii="方正仿宋_GBK" w:hAnsi="方正仿宋_GBK" w:eastAsia="方正仿宋_GBK" w:cstheme="minorEastAsia"/>
          <w:color w:val="auto"/>
          <w:lang w:val="en-US" w:eastAsia="zh-CN"/>
        </w:rPr>
      </w:pPr>
    </w:p>
    <w:bookmarkEnd w:id="203"/>
    <w:bookmarkEnd w:id="204"/>
    <w:p w14:paraId="4C835089">
      <w:pPr>
        <w:pStyle w:val="2"/>
        <w:spacing w:line="460" w:lineRule="exact"/>
        <w:jc w:val="center"/>
        <w:rPr>
          <w:rFonts w:hint="eastAsia" w:ascii="宋体" w:hAnsi="宋体" w:cs="宋体"/>
        </w:rPr>
      </w:pPr>
      <w:r>
        <w:rPr>
          <w:rFonts w:hint="eastAsia" w:ascii="方正黑体_GBK" w:hAnsi="方正黑体_GBK" w:eastAsia="方正黑体_GBK" w:cs="方正黑体_GBK"/>
          <w:snapToGrid/>
          <w:color w:val="auto"/>
          <w:highlight w:val="none"/>
          <w:lang w:val="en-US" w:eastAsia="zh-CN" w:bidi="ar-SA"/>
        </w:rPr>
        <w:t>第三章 评审办法(经评审的最低价法)</w:t>
      </w:r>
    </w:p>
    <w:p w14:paraId="45C23911">
      <w:pPr>
        <w:pStyle w:val="3"/>
        <w:spacing w:before="0" w:after="0" w:line="360" w:lineRule="auto"/>
        <w:jc w:val="center"/>
        <w:rPr>
          <w:rFonts w:hint="eastAsia" w:asciiTheme="minorEastAsia" w:hAnsiTheme="minorEastAsia" w:eastAsiaTheme="minorEastAsia"/>
          <w:color w:val="auto"/>
          <w:highlight w:val="none"/>
          <w:lang w:val="en-US" w:eastAsia="zh-CN"/>
        </w:rPr>
      </w:pPr>
      <w:bookmarkStart w:id="211" w:name="_Toc17269"/>
      <w:bookmarkStart w:id="212" w:name="_Toc22828"/>
      <w:r>
        <w:rPr>
          <w:rFonts w:hint="eastAsia" w:ascii="方正仿宋_GBK" w:hAnsi="方正仿宋_GBK" w:eastAsia="方正仿宋_GBK" w:cs="方正仿宋_GBK"/>
          <w:color w:val="auto"/>
          <w:highlight w:val="none"/>
          <w:lang w:val="en-US" w:eastAsia="zh-CN"/>
        </w:rPr>
        <w:t>评审办法前附表</w:t>
      </w:r>
      <w:bookmarkEnd w:id="211"/>
      <w:bookmarkEnd w:id="212"/>
    </w:p>
    <w:p w14:paraId="1184A100">
      <w:pPr>
        <w:ind w:firstLine="436" w:firstLineChars="200"/>
        <w:rPr>
          <w:rFonts w:hint="eastAsia"/>
          <w:lang w:val="en-US" w:eastAsia="zh-CN"/>
        </w:rPr>
      </w:pPr>
      <w:r>
        <w:rPr>
          <w:rFonts w:hint="eastAsia" w:ascii="方正仿宋_GBK" w:hAnsi="方正仿宋_GBK" w:eastAsia="方正仿宋_GBK" w:cs="方正仿宋_GBK"/>
          <w:snapToGrid/>
          <w:color w:val="auto"/>
          <w:spacing w:val="4"/>
          <w:kern w:val="0"/>
          <w:szCs w:val="21"/>
          <w:highlight w:val="none"/>
          <w:lang w:val="en-US" w:eastAsia="zh-CN" w:bidi="ar-SA"/>
        </w:rPr>
        <w:t>评审办法中的评审内容必须和</w:t>
      </w:r>
      <w:r>
        <w:rPr>
          <w:rFonts w:hint="eastAsia" w:ascii="方正仿宋_GBK" w:hAnsi="方正仿宋_GBK" w:eastAsia="方正仿宋_GBK" w:cs="方正仿宋_GBK"/>
          <w:snapToGrid/>
          <w:color w:val="auto"/>
          <w:kern w:val="2"/>
          <w:szCs w:val="22"/>
          <w:highlight w:val="none"/>
          <w:lang w:val="en-US" w:eastAsia="zh-CN" w:bidi="ar-SA"/>
        </w:rPr>
        <w:t>竞选人</w:t>
      </w:r>
      <w:r>
        <w:rPr>
          <w:rFonts w:hint="eastAsia" w:ascii="方正仿宋_GBK" w:hAnsi="方正仿宋_GBK" w:eastAsia="方正仿宋_GBK" w:cs="方正仿宋_GBK"/>
          <w:snapToGrid/>
          <w:color w:val="auto"/>
          <w:spacing w:val="4"/>
          <w:kern w:val="0"/>
          <w:szCs w:val="21"/>
          <w:highlight w:val="none"/>
          <w:lang w:val="en-US" w:eastAsia="zh-CN" w:bidi="ar-SA"/>
        </w:rPr>
        <w:t>须知中的对应内容一致，若</w:t>
      </w:r>
      <w:r>
        <w:rPr>
          <w:rFonts w:hint="eastAsia" w:ascii="方正仿宋_GBK" w:hAnsi="方正仿宋_GBK" w:eastAsia="方正仿宋_GBK" w:cs="方正仿宋_GBK"/>
          <w:snapToGrid/>
          <w:color w:val="auto"/>
          <w:kern w:val="2"/>
          <w:szCs w:val="22"/>
          <w:highlight w:val="none"/>
          <w:lang w:val="en-US" w:eastAsia="zh-CN" w:bidi="ar-SA"/>
        </w:rPr>
        <w:t>竞选人</w:t>
      </w:r>
      <w:r>
        <w:rPr>
          <w:rFonts w:hint="eastAsia" w:ascii="方正仿宋_GBK" w:hAnsi="方正仿宋_GBK" w:eastAsia="方正仿宋_GBK" w:cs="方正仿宋_GBK"/>
          <w:snapToGrid/>
          <w:color w:val="auto"/>
          <w:spacing w:val="4"/>
          <w:kern w:val="0"/>
          <w:szCs w:val="21"/>
          <w:highlight w:val="none"/>
          <w:lang w:val="en-US" w:eastAsia="zh-CN" w:bidi="ar-SA"/>
        </w:rPr>
        <w:t>须知中未作要求的内容，不得列入评审办法作为评定依据。</w:t>
      </w:r>
    </w:p>
    <w:tbl>
      <w:tblPr>
        <w:tblStyle w:val="15"/>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482"/>
        <w:gridCol w:w="867"/>
        <w:gridCol w:w="1761"/>
        <w:gridCol w:w="5389"/>
      </w:tblGrid>
      <w:tr w14:paraId="1D3B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07" w:type="dxa"/>
            <w:gridSpan w:val="2"/>
            <w:noWrap w:val="0"/>
            <w:vAlign w:val="top"/>
          </w:tcPr>
          <w:p w14:paraId="01915821">
            <w:pPr>
              <w:spacing w:line="460" w:lineRule="exact"/>
              <w:jc w:val="center"/>
              <w:rPr>
                <w:rFonts w:hint="default" w:ascii="Times New Roman" w:hAnsi="Times New Roman" w:eastAsia="方正仿宋_GBK" w:cs="Times New Roman"/>
                <w:szCs w:val="21"/>
              </w:rPr>
            </w:pPr>
            <w:bookmarkStart w:id="213" w:name="CQZH1_07"/>
            <w:r>
              <w:rPr>
                <w:rFonts w:hint="default" w:ascii="Times New Roman" w:hAnsi="Times New Roman" w:eastAsia="方正仿宋_GBK" w:cs="Times New Roman"/>
                <w:kern w:val="0"/>
              </w:rPr>
              <w:t xml:space="preserve"> </w:t>
            </w:r>
            <w:bookmarkStart w:id="214" w:name="CQZH1_FIRST_01"/>
            <w:r>
              <w:rPr>
                <w:rFonts w:hint="default" w:ascii="Times New Roman" w:hAnsi="Times New Roman" w:eastAsia="方正仿宋_GBK" w:cs="Times New Roman"/>
                <w:b/>
                <w:kern w:val="0"/>
                <w:szCs w:val="21"/>
              </w:rPr>
              <w:t>条款号</w:t>
            </w:r>
          </w:p>
        </w:tc>
        <w:tc>
          <w:tcPr>
            <w:tcW w:w="2628" w:type="dxa"/>
            <w:gridSpan w:val="2"/>
            <w:noWrap w:val="0"/>
            <w:vAlign w:val="top"/>
          </w:tcPr>
          <w:p w14:paraId="7B7B4DE2">
            <w:pPr>
              <w:spacing w:line="46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b/>
                <w:kern w:val="0"/>
                <w:szCs w:val="21"/>
              </w:rPr>
              <w:t>评审因素</w:t>
            </w:r>
          </w:p>
        </w:tc>
        <w:tc>
          <w:tcPr>
            <w:tcW w:w="5389" w:type="dxa"/>
            <w:noWrap w:val="0"/>
            <w:vAlign w:val="top"/>
          </w:tcPr>
          <w:p w14:paraId="19CF8A0E">
            <w:pPr>
              <w:spacing w:line="46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b/>
                <w:kern w:val="0"/>
                <w:szCs w:val="21"/>
              </w:rPr>
              <w:t>评审标准</w:t>
            </w:r>
          </w:p>
        </w:tc>
      </w:tr>
      <w:tr w14:paraId="24AB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1007" w:type="dxa"/>
            <w:gridSpan w:val="2"/>
            <w:noWrap w:val="0"/>
            <w:vAlign w:val="center"/>
          </w:tcPr>
          <w:p w14:paraId="615A128A">
            <w:pPr>
              <w:snapToGrid w:val="0"/>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rPr>
              <w:t>1</w:t>
            </w:r>
          </w:p>
        </w:tc>
        <w:tc>
          <w:tcPr>
            <w:tcW w:w="2628" w:type="dxa"/>
            <w:gridSpan w:val="2"/>
            <w:noWrap w:val="0"/>
            <w:vAlign w:val="center"/>
          </w:tcPr>
          <w:p w14:paraId="58064E76">
            <w:pPr>
              <w:snapToGrid w:val="0"/>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szCs w:val="21"/>
                <w:lang w:eastAsia="zh-CN"/>
              </w:rPr>
              <w:t>评审</w:t>
            </w:r>
            <w:r>
              <w:rPr>
                <w:rFonts w:hint="default" w:ascii="Times New Roman" w:hAnsi="Times New Roman" w:eastAsia="方正仿宋_GBK" w:cs="Times New Roman"/>
                <w:kern w:val="0"/>
                <w:szCs w:val="21"/>
              </w:rPr>
              <w:t>方法</w:t>
            </w:r>
          </w:p>
        </w:tc>
        <w:tc>
          <w:tcPr>
            <w:tcW w:w="5389" w:type="dxa"/>
            <w:noWrap w:val="0"/>
            <w:vAlign w:val="center"/>
          </w:tcPr>
          <w:p w14:paraId="76DB6D8C">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szCs w:val="21"/>
              </w:rPr>
            </w:pPr>
            <w:r>
              <w:rPr>
                <w:rFonts w:hint="default" w:ascii="Times New Roman" w:hAnsi="Times New Roman" w:eastAsia="方正仿宋_GBK" w:cs="Times New Roman"/>
                <w:b w:val="0"/>
                <w:bCs/>
                <w:kern w:val="0"/>
                <w:szCs w:val="21"/>
                <w:highlight w:val="none"/>
              </w:rPr>
              <w:t>本次比选采用经评审的最低价法，</w:t>
            </w:r>
            <w:r>
              <w:rPr>
                <w:rFonts w:hint="default" w:ascii="Times New Roman" w:hAnsi="Times New Roman" w:eastAsia="方正仿宋_GBK" w:cs="Times New Roman"/>
                <w:b w:val="0"/>
                <w:bCs/>
                <w:kern w:val="0"/>
                <w:szCs w:val="21"/>
                <w:highlight w:val="none"/>
                <w:lang w:eastAsia="zh-CN"/>
              </w:rPr>
              <w:t>评审小组</w:t>
            </w:r>
            <w:r>
              <w:rPr>
                <w:rFonts w:hint="default" w:ascii="Times New Roman" w:hAnsi="Times New Roman" w:eastAsia="方正仿宋_GBK" w:cs="Times New Roman"/>
                <w:b w:val="0"/>
                <w:bCs/>
                <w:kern w:val="0"/>
                <w:szCs w:val="21"/>
                <w:highlight w:val="none"/>
              </w:rPr>
              <w:t>按照本章第2.1款进行报价排序，按照本章第2.2款进行符合性审查，符合性审查合格的竞选人按</w:t>
            </w:r>
            <w:r>
              <w:rPr>
                <w:rFonts w:hint="default" w:ascii="Times New Roman" w:hAnsi="Times New Roman" w:eastAsia="方正仿宋_GBK" w:cs="Times New Roman"/>
                <w:b w:val="0"/>
                <w:bCs/>
                <w:kern w:val="0"/>
                <w:szCs w:val="21"/>
                <w:highlight w:val="none"/>
                <w:lang w:eastAsia="zh-CN"/>
              </w:rPr>
              <w:t>经评审的报价</w:t>
            </w:r>
            <w:r>
              <w:rPr>
                <w:rFonts w:hint="default" w:ascii="Times New Roman" w:hAnsi="Times New Roman" w:eastAsia="方正仿宋_GBK" w:cs="Times New Roman"/>
                <w:b w:val="0"/>
                <w:bCs/>
                <w:kern w:val="0"/>
                <w:szCs w:val="21"/>
                <w:highlight w:val="none"/>
              </w:rPr>
              <w:t>由低到高推荐中选候选人或根据比选人授权直接确定</w:t>
            </w:r>
            <w:r>
              <w:rPr>
                <w:rFonts w:hint="default" w:ascii="Times New Roman" w:hAnsi="Times New Roman" w:eastAsia="方正仿宋_GBK" w:cs="Times New Roman"/>
                <w:b w:val="0"/>
                <w:bCs/>
                <w:kern w:val="0"/>
                <w:szCs w:val="21"/>
                <w:highlight w:val="none"/>
                <w:lang w:eastAsia="zh-CN"/>
              </w:rPr>
              <w:t>中选</w:t>
            </w:r>
            <w:r>
              <w:rPr>
                <w:rFonts w:hint="default" w:ascii="Times New Roman" w:hAnsi="Times New Roman" w:eastAsia="方正仿宋_GBK" w:cs="Times New Roman"/>
                <w:b w:val="0"/>
                <w:bCs/>
                <w:kern w:val="0"/>
                <w:szCs w:val="21"/>
                <w:highlight w:val="none"/>
              </w:rPr>
              <w:t>人。</w:t>
            </w:r>
          </w:p>
        </w:tc>
      </w:tr>
      <w:tr w14:paraId="37DB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1007" w:type="dxa"/>
            <w:gridSpan w:val="2"/>
            <w:noWrap w:val="0"/>
            <w:vAlign w:val="center"/>
          </w:tcPr>
          <w:p w14:paraId="37E4CC5F">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rPr>
              <w:t>2.1</w:t>
            </w:r>
          </w:p>
        </w:tc>
        <w:tc>
          <w:tcPr>
            <w:tcW w:w="2628" w:type="dxa"/>
            <w:gridSpan w:val="2"/>
            <w:noWrap w:val="0"/>
            <w:vAlign w:val="center"/>
          </w:tcPr>
          <w:p w14:paraId="7FC9A36B">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rPr>
              <w:t>报价顺序</w:t>
            </w:r>
          </w:p>
        </w:tc>
        <w:tc>
          <w:tcPr>
            <w:tcW w:w="5389" w:type="dxa"/>
            <w:noWrap w:val="0"/>
            <w:vAlign w:val="center"/>
          </w:tcPr>
          <w:p w14:paraId="594516F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kern w:val="0"/>
                <w:highlight w:val="none"/>
              </w:rPr>
              <w:t>对报价不高于最高限价的所有竞选人的竞选文件，按照报价由低到高的顺序排列。</w:t>
            </w:r>
          </w:p>
        </w:tc>
      </w:tr>
      <w:tr w14:paraId="731E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1007" w:type="dxa"/>
            <w:gridSpan w:val="2"/>
            <w:noWrap w:val="0"/>
            <w:vAlign w:val="center"/>
          </w:tcPr>
          <w:p w14:paraId="22399182">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rPr>
              <w:t>2.2</w:t>
            </w:r>
          </w:p>
        </w:tc>
        <w:tc>
          <w:tcPr>
            <w:tcW w:w="2628" w:type="dxa"/>
            <w:gridSpan w:val="2"/>
            <w:noWrap w:val="0"/>
            <w:vAlign w:val="center"/>
          </w:tcPr>
          <w:p w14:paraId="587CB357">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kern w:val="0"/>
              </w:rPr>
              <w:t>符合性审查</w:t>
            </w:r>
          </w:p>
        </w:tc>
        <w:tc>
          <w:tcPr>
            <w:tcW w:w="5389" w:type="dxa"/>
            <w:noWrap w:val="0"/>
            <w:vAlign w:val="center"/>
          </w:tcPr>
          <w:p w14:paraId="6CA7EF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kern w:val="0"/>
                <w:highlight w:val="none"/>
                <w:lang w:eastAsia="zh-CN"/>
              </w:rPr>
              <w:t>对符合要求的竞选人</w:t>
            </w:r>
            <w:r>
              <w:rPr>
                <w:rFonts w:hint="default" w:ascii="Times New Roman" w:hAnsi="Times New Roman" w:eastAsia="方正仿宋_GBK" w:cs="Times New Roman"/>
                <w:spacing w:val="4"/>
                <w:kern w:val="0"/>
                <w:szCs w:val="21"/>
                <w:highlight w:val="none"/>
              </w:rPr>
              <w:t>进行符合性审查。符合性审查内容：形式评审、资格评审、响应性评审。</w:t>
            </w:r>
          </w:p>
        </w:tc>
      </w:tr>
      <w:tr w14:paraId="1667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restart"/>
            <w:noWrap w:val="0"/>
            <w:vAlign w:val="center"/>
          </w:tcPr>
          <w:p w14:paraId="18749BA4">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2.2.2</w:t>
            </w:r>
          </w:p>
        </w:tc>
        <w:tc>
          <w:tcPr>
            <w:tcW w:w="482" w:type="dxa"/>
            <w:vMerge w:val="restart"/>
            <w:noWrap w:val="0"/>
            <w:vAlign w:val="center"/>
          </w:tcPr>
          <w:p w14:paraId="51CB1330">
            <w:pPr>
              <w:spacing w:line="46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形式评审</w:t>
            </w:r>
          </w:p>
        </w:tc>
        <w:tc>
          <w:tcPr>
            <w:tcW w:w="2628" w:type="dxa"/>
            <w:gridSpan w:val="2"/>
            <w:noWrap w:val="0"/>
            <w:vAlign w:val="center"/>
          </w:tcPr>
          <w:p w14:paraId="5B39C377">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竞选人名称</w:t>
            </w:r>
          </w:p>
        </w:tc>
        <w:tc>
          <w:tcPr>
            <w:tcW w:w="5389" w:type="dxa"/>
            <w:noWrap w:val="0"/>
            <w:vAlign w:val="center"/>
          </w:tcPr>
          <w:p w14:paraId="686D880A">
            <w:pPr>
              <w:keepNext w:val="0"/>
              <w:keepLines w:val="0"/>
              <w:pageBreakBefore w:val="0"/>
              <w:wordWrap/>
              <w:overflowPunct/>
              <w:topLinePunct w:val="0"/>
              <w:bidi w:val="0"/>
              <w:snapToGrid w:val="0"/>
              <w:spacing w:line="240" w:lineRule="auto"/>
              <w:jc w:val="both"/>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与营业执照、资质证书一致</w:t>
            </w:r>
            <w:r>
              <w:rPr>
                <w:rFonts w:hint="default" w:ascii="Times New Roman" w:hAnsi="Times New Roman" w:eastAsia="方正仿宋_GBK" w:cs="Times New Roman"/>
                <w:szCs w:val="21"/>
                <w:highlight w:val="none"/>
                <w:lang w:eastAsia="zh-CN"/>
              </w:rPr>
              <w:t>。</w:t>
            </w:r>
          </w:p>
        </w:tc>
      </w:tr>
      <w:tr w14:paraId="4666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7262EDA1">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5142AEDC">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6320AF6F">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竞选函签字盖章</w:t>
            </w:r>
          </w:p>
        </w:tc>
        <w:tc>
          <w:tcPr>
            <w:tcW w:w="5389" w:type="dxa"/>
            <w:noWrap w:val="0"/>
            <w:vAlign w:val="top"/>
          </w:tcPr>
          <w:p w14:paraId="082D7D35">
            <w:pPr>
              <w:keepNext w:val="0"/>
              <w:keepLines w:val="0"/>
              <w:pageBreakBefore w:val="0"/>
              <w:wordWrap/>
              <w:overflowPunct/>
              <w:topLinePunct w:val="0"/>
              <w:bidi w:val="0"/>
              <w:snapToGrid w:val="0"/>
              <w:spacing w:line="240" w:lineRule="auto"/>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highlight w:val="none"/>
              </w:rPr>
              <w:t>法定代表人或其委托代理人签字或盖章、单位章符合要求</w:t>
            </w:r>
            <w:r>
              <w:rPr>
                <w:rFonts w:hint="default" w:ascii="Times New Roman" w:hAnsi="Times New Roman" w:eastAsia="方正仿宋_GBK" w:cs="Times New Roman"/>
                <w:szCs w:val="21"/>
                <w:highlight w:val="none"/>
                <w:lang w:eastAsia="zh-CN"/>
              </w:rPr>
              <w:t>。</w:t>
            </w:r>
          </w:p>
        </w:tc>
      </w:tr>
      <w:tr w14:paraId="1B31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67B46C42">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09007507">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114F5777">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竞选文件格式</w:t>
            </w:r>
          </w:p>
        </w:tc>
        <w:tc>
          <w:tcPr>
            <w:tcW w:w="5389" w:type="dxa"/>
            <w:noWrap w:val="0"/>
            <w:vAlign w:val="top"/>
          </w:tcPr>
          <w:p w14:paraId="4596526A">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符合第</w:t>
            </w:r>
            <w:r>
              <w:rPr>
                <w:rFonts w:hint="default" w:ascii="Times New Roman" w:hAnsi="Times New Roman" w:eastAsia="方正仿宋_GBK" w:cs="Times New Roman"/>
                <w:szCs w:val="21"/>
                <w:highlight w:val="none"/>
                <w:lang w:eastAsia="zh-CN"/>
              </w:rPr>
              <w:t>五</w:t>
            </w:r>
            <w:r>
              <w:rPr>
                <w:rFonts w:hint="default" w:ascii="Times New Roman" w:hAnsi="Times New Roman" w:eastAsia="方正仿宋_GBK" w:cs="Times New Roman"/>
                <w:szCs w:val="21"/>
                <w:highlight w:val="none"/>
              </w:rPr>
              <w:t>章“竞选文件格式”的要求，字迹清晰可辨。</w:t>
            </w:r>
          </w:p>
          <w:p w14:paraId="6A894E9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1.竞选函附录的所有数据均符合竞选文件的规定；</w:t>
            </w:r>
          </w:p>
          <w:p w14:paraId="2F5AD36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2.竞选文件附表齐全完整，内容均按规定填写；</w:t>
            </w:r>
          </w:p>
          <w:p w14:paraId="3675EF4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3.按规定提供了</w:t>
            </w:r>
            <w:r>
              <w:rPr>
                <w:rFonts w:hint="default" w:ascii="Times New Roman" w:hAnsi="Times New Roman" w:eastAsia="方正仿宋_GBK" w:cs="Times New Roman"/>
                <w:szCs w:val="21"/>
                <w:highlight w:val="none"/>
                <w:lang w:eastAsia="zh-CN"/>
              </w:rPr>
              <w:t>资质及业绩等相关</w:t>
            </w:r>
            <w:r>
              <w:rPr>
                <w:rFonts w:hint="default" w:ascii="Times New Roman" w:hAnsi="Times New Roman" w:eastAsia="方正仿宋_GBK" w:cs="Times New Roman"/>
                <w:szCs w:val="21"/>
                <w:highlight w:val="none"/>
              </w:rPr>
              <w:t>证件复印件，证件清晰可辨、有效；</w:t>
            </w:r>
          </w:p>
          <w:p w14:paraId="2E0E366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4.竞选文件的编制符合第二章3.7款的规定。</w:t>
            </w:r>
          </w:p>
        </w:tc>
      </w:tr>
      <w:tr w14:paraId="79FE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7B4B3990">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2BFB92E4">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465138E6">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报价唯一</w:t>
            </w:r>
          </w:p>
        </w:tc>
        <w:tc>
          <w:tcPr>
            <w:tcW w:w="5389" w:type="dxa"/>
            <w:noWrap w:val="0"/>
            <w:vAlign w:val="center"/>
          </w:tcPr>
          <w:p w14:paraId="712EE2E0">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只能有一个有效报价。</w:t>
            </w:r>
          </w:p>
        </w:tc>
      </w:tr>
      <w:tr w14:paraId="3C69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1DC6BFCB">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7AE9F844">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70FD14C0">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竞选文件的签署</w:t>
            </w:r>
          </w:p>
        </w:tc>
        <w:tc>
          <w:tcPr>
            <w:tcW w:w="5389" w:type="dxa"/>
            <w:noWrap w:val="0"/>
            <w:vAlign w:val="top"/>
          </w:tcPr>
          <w:p w14:paraId="66BA9CD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竞选文件上法定代表人或其授权代理人的签字或盖章齐全。</w:t>
            </w:r>
          </w:p>
        </w:tc>
      </w:tr>
      <w:tr w14:paraId="267E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2BA46122">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3AA467DB">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0CF31CBF">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委托代理人</w:t>
            </w:r>
          </w:p>
        </w:tc>
        <w:tc>
          <w:tcPr>
            <w:tcW w:w="5389" w:type="dxa"/>
            <w:noWrap w:val="0"/>
            <w:vAlign w:val="top"/>
          </w:tcPr>
          <w:p w14:paraId="652AC31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竞选人法定代表人的委托代理人有法定代表人签署的授权委托书，且其授权委托书符合竞选文件规定的格式。</w:t>
            </w:r>
          </w:p>
        </w:tc>
      </w:tr>
      <w:tr w14:paraId="65CE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restart"/>
            <w:noWrap w:val="0"/>
            <w:vAlign w:val="center"/>
          </w:tcPr>
          <w:p w14:paraId="388EF73B">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2.2.3</w:t>
            </w:r>
          </w:p>
        </w:tc>
        <w:tc>
          <w:tcPr>
            <w:tcW w:w="482" w:type="dxa"/>
            <w:vMerge w:val="restart"/>
            <w:noWrap w:val="0"/>
            <w:vAlign w:val="center"/>
          </w:tcPr>
          <w:p w14:paraId="2806CB11">
            <w:pPr>
              <w:spacing w:line="46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资格评审</w:t>
            </w:r>
          </w:p>
        </w:tc>
        <w:tc>
          <w:tcPr>
            <w:tcW w:w="2628" w:type="dxa"/>
            <w:gridSpan w:val="2"/>
            <w:noWrap w:val="0"/>
            <w:vAlign w:val="center"/>
          </w:tcPr>
          <w:p w14:paraId="22B9E7D5">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营业执照</w:t>
            </w:r>
          </w:p>
        </w:tc>
        <w:tc>
          <w:tcPr>
            <w:tcW w:w="5389" w:type="dxa"/>
            <w:noWrap w:val="0"/>
            <w:vAlign w:val="top"/>
          </w:tcPr>
          <w:p w14:paraId="1ED73288">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符合第二章“竞选人须知</w:t>
            </w:r>
            <w:r>
              <w:rPr>
                <w:rFonts w:hint="default" w:ascii="Times New Roman" w:hAnsi="Times New Roman" w:eastAsia="方正仿宋_GBK" w:cs="Times New Roman"/>
                <w:szCs w:val="21"/>
                <w:highlight w:val="none"/>
                <w:lang w:eastAsia="zh-CN"/>
              </w:rPr>
              <w:t>前附表</w:t>
            </w:r>
            <w:r>
              <w:rPr>
                <w:rFonts w:hint="default" w:ascii="Times New Roman" w:hAnsi="Times New Roman" w:eastAsia="方正仿宋_GBK" w:cs="Times New Roman"/>
                <w:szCs w:val="21"/>
                <w:highlight w:val="none"/>
              </w:rPr>
              <w:t>”第1.4.1项规定</w:t>
            </w:r>
            <w:r>
              <w:rPr>
                <w:rFonts w:hint="default" w:ascii="Times New Roman" w:hAnsi="Times New Roman" w:eastAsia="方正仿宋_GBK" w:cs="Times New Roman"/>
                <w:szCs w:val="21"/>
                <w:highlight w:val="none"/>
                <w:lang w:eastAsia="zh-CN"/>
              </w:rPr>
              <w:t>。</w:t>
            </w:r>
          </w:p>
        </w:tc>
      </w:tr>
      <w:tr w14:paraId="5AE3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0B9B82C5">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12B0103A">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70761D17">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资质等级</w:t>
            </w:r>
          </w:p>
        </w:tc>
        <w:tc>
          <w:tcPr>
            <w:tcW w:w="5389" w:type="dxa"/>
            <w:noWrap w:val="0"/>
            <w:vAlign w:val="top"/>
          </w:tcPr>
          <w:p w14:paraId="4560889A">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符合第二章“竞选人须知</w:t>
            </w:r>
            <w:r>
              <w:rPr>
                <w:rFonts w:hint="default" w:ascii="Times New Roman" w:hAnsi="Times New Roman" w:eastAsia="方正仿宋_GBK" w:cs="Times New Roman"/>
                <w:szCs w:val="21"/>
                <w:highlight w:val="none"/>
                <w:lang w:eastAsia="zh-CN"/>
              </w:rPr>
              <w:t>前附表</w:t>
            </w:r>
            <w:r>
              <w:rPr>
                <w:rFonts w:hint="default" w:ascii="Times New Roman" w:hAnsi="Times New Roman" w:eastAsia="方正仿宋_GBK" w:cs="Times New Roman"/>
                <w:szCs w:val="21"/>
                <w:highlight w:val="none"/>
              </w:rPr>
              <w:t>”第1.4.1项规定</w:t>
            </w:r>
            <w:r>
              <w:rPr>
                <w:rFonts w:hint="default" w:ascii="Times New Roman" w:hAnsi="Times New Roman" w:eastAsia="方正仿宋_GBK" w:cs="Times New Roman"/>
                <w:szCs w:val="21"/>
                <w:highlight w:val="none"/>
                <w:lang w:eastAsia="zh-CN"/>
              </w:rPr>
              <w:t>。</w:t>
            </w:r>
          </w:p>
        </w:tc>
      </w:tr>
      <w:bookmarkEnd w:id="213"/>
      <w:bookmarkEnd w:id="214"/>
      <w:tr w14:paraId="7F48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627C11CD">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27890593">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39285AC7">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信誉要求</w:t>
            </w:r>
          </w:p>
        </w:tc>
        <w:tc>
          <w:tcPr>
            <w:tcW w:w="5389" w:type="dxa"/>
            <w:noWrap w:val="0"/>
            <w:vAlign w:val="center"/>
          </w:tcPr>
          <w:p w14:paraId="04B54AB8">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符合第二章“竞选人须知</w:t>
            </w:r>
            <w:r>
              <w:rPr>
                <w:rFonts w:hint="default" w:ascii="Times New Roman" w:hAnsi="Times New Roman" w:eastAsia="方正仿宋_GBK" w:cs="Times New Roman"/>
                <w:szCs w:val="21"/>
                <w:highlight w:val="none"/>
                <w:lang w:eastAsia="zh-CN"/>
              </w:rPr>
              <w:t>前附表</w:t>
            </w:r>
            <w:r>
              <w:rPr>
                <w:rFonts w:hint="default" w:ascii="Times New Roman" w:hAnsi="Times New Roman" w:eastAsia="方正仿宋_GBK" w:cs="Times New Roman"/>
                <w:szCs w:val="21"/>
                <w:highlight w:val="none"/>
              </w:rPr>
              <w:t>”第1.4.1项规定</w:t>
            </w:r>
            <w:r>
              <w:rPr>
                <w:rFonts w:hint="default" w:ascii="Times New Roman" w:hAnsi="Times New Roman" w:eastAsia="方正仿宋_GBK" w:cs="Times New Roman"/>
                <w:szCs w:val="21"/>
                <w:highlight w:val="none"/>
                <w:lang w:eastAsia="zh-CN"/>
              </w:rPr>
              <w:t>。</w:t>
            </w:r>
          </w:p>
        </w:tc>
      </w:tr>
      <w:tr w14:paraId="291A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3D712492">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0B03FA82">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190E66E0">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lang w:eastAsia="zh-CN"/>
              </w:rPr>
              <w:t>项目人员配置</w:t>
            </w:r>
          </w:p>
        </w:tc>
        <w:tc>
          <w:tcPr>
            <w:tcW w:w="5389" w:type="dxa"/>
            <w:noWrap w:val="0"/>
            <w:vAlign w:val="center"/>
          </w:tcPr>
          <w:p w14:paraId="7F09BF64">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符合第五章</w:t>
            </w:r>
            <w:r>
              <w:rPr>
                <w:rFonts w:hint="default" w:ascii="Times New Roman" w:hAnsi="Times New Roman" w:eastAsia="方正仿宋_GBK" w:cs="Times New Roman"/>
                <w:szCs w:val="21"/>
                <w:highlight w:val="none"/>
                <w:lang w:eastAsia="zh-CN"/>
              </w:rPr>
              <w:t>“</w:t>
            </w:r>
            <w:r>
              <w:rPr>
                <w:rFonts w:hint="default" w:ascii="Times New Roman" w:hAnsi="Times New Roman" w:eastAsia="方正仿宋_GBK" w:cs="Times New Roman"/>
                <w:szCs w:val="21"/>
                <w:highlight w:val="none"/>
              </w:rPr>
              <w:t>商务部分</w:t>
            </w:r>
            <w:r>
              <w:rPr>
                <w:rFonts w:hint="default" w:ascii="Times New Roman" w:hAnsi="Times New Roman" w:eastAsia="方正仿宋_GBK" w:cs="Times New Roman"/>
                <w:szCs w:val="21"/>
                <w:highlight w:val="none"/>
                <w:lang w:eastAsia="zh-CN"/>
              </w:rPr>
              <w:t>”</w:t>
            </w:r>
            <w:r>
              <w:rPr>
                <w:rFonts w:hint="default" w:ascii="Times New Roman" w:hAnsi="Times New Roman" w:eastAsia="方正仿宋_GBK" w:cs="Times New Roman"/>
                <w:szCs w:val="21"/>
                <w:highlight w:val="none"/>
              </w:rPr>
              <w:t>第6项规定。</w:t>
            </w:r>
          </w:p>
        </w:tc>
      </w:tr>
      <w:tr w14:paraId="2A24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57E55F5D">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7EED52D4">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6452EB2C">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其它要求</w:t>
            </w:r>
          </w:p>
        </w:tc>
        <w:tc>
          <w:tcPr>
            <w:tcW w:w="5389" w:type="dxa"/>
            <w:noWrap w:val="0"/>
            <w:vAlign w:val="top"/>
          </w:tcPr>
          <w:p w14:paraId="24A8744C">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highlight w:val="none"/>
              </w:rPr>
              <w:t>符合第二章“竞选人须知</w:t>
            </w:r>
            <w:r>
              <w:rPr>
                <w:rFonts w:hint="default" w:ascii="Times New Roman" w:hAnsi="Times New Roman" w:eastAsia="方正仿宋_GBK" w:cs="Times New Roman"/>
                <w:szCs w:val="21"/>
                <w:highlight w:val="none"/>
                <w:lang w:eastAsia="zh-CN"/>
              </w:rPr>
              <w:t>前附表</w:t>
            </w:r>
            <w:r>
              <w:rPr>
                <w:rFonts w:hint="default" w:ascii="Times New Roman" w:hAnsi="Times New Roman" w:eastAsia="方正仿宋_GBK" w:cs="Times New Roman"/>
                <w:szCs w:val="21"/>
                <w:highlight w:val="none"/>
              </w:rPr>
              <w:t>”第1.4.1项规定</w:t>
            </w:r>
            <w:r>
              <w:rPr>
                <w:rFonts w:hint="default" w:ascii="Times New Roman" w:hAnsi="Times New Roman" w:eastAsia="方正仿宋_GBK" w:cs="Times New Roman"/>
                <w:szCs w:val="21"/>
                <w:highlight w:val="none"/>
                <w:lang w:eastAsia="zh-CN"/>
              </w:rPr>
              <w:t>。</w:t>
            </w:r>
          </w:p>
        </w:tc>
      </w:tr>
      <w:tr w14:paraId="54F8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restart"/>
            <w:noWrap w:val="0"/>
            <w:vAlign w:val="center"/>
          </w:tcPr>
          <w:p w14:paraId="23CB9734">
            <w:pPr>
              <w:spacing w:line="46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w:t>
            </w:r>
            <w:r>
              <w:rPr>
                <w:rFonts w:hint="default" w:ascii="Times New Roman" w:hAnsi="Times New Roman" w:eastAsia="方正仿宋_GBK" w:cs="Times New Roman"/>
                <w:szCs w:val="21"/>
                <w:lang w:val="en-US" w:eastAsia="zh-CN"/>
              </w:rPr>
              <w:t>2</w:t>
            </w:r>
            <w:r>
              <w:rPr>
                <w:rFonts w:hint="default" w:ascii="Times New Roman" w:hAnsi="Times New Roman" w:eastAsia="方正仿宋_GBK" w:cs="Times New Roman"/>
                <w:szCs w:val="21"/>
              </w:rPr>
              <w:t>.4</w:t>
            </w:r>
          </w:p>
        </w:tc>
        <w:tc>
          <w:tcPr>
            <w:tcW w:w="482" w:type="dxa"/>
            <w:vMerge w:val="restart"/>
            <w:noWrap w:val="0"/>
            <w:vAlign w:val="center"/>
          </w:tcPr>
          <w:p w14:paraId="5FC25C44">
            <w:pPr>
              <w:spacing w:line="46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响应性评审</w:t>
            </w:r>
          </w:p>
        </w:tc>
        <w:tc>
          <w:tcPr>
            <w:tcW w:w="2628" w:type="dxa"/>
            <w:gridSpan w:val="2"/>
            <w:noWrap w:val="0"/>
            <w:vAlign w:val="center"/>
          </w:tcPr>
          <w:p w14:paraId="7EC7D6EA">
            <w:pPr>
              <w:spacing w:line="500" w:lineRule="exact"/>
              <w:jc w:val="center"/>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最高限价</w:t>
            </w:r>
          </w:p>
        </w:tc>
        <w:tc>
          <w:tcPr>
            <w:tcW w:w="5389" w:type="dxa"/>
            <w:noWrap w:val="0"/>
            <w:vAlign w:val="top"/>
          </w:tcPr>
          <w:p w14:paraId="6084DD7D">
            <w:pPr>
              <w:spacing w:line="500" w:lineRule="exact"/>
              <w:rPr>
                <w:rFonts w:hint="default" w:ascii="Times New Roman" w:hAnsi="Times New Roman" w:eastAsia="方正仿宋_GBK" w:cs="Times New Roman"/>
                <w:szCs w:val="21"/>
                <w:highlight w:val="none"/>
              </w:rPr>
            </w:pPr>
            <w:r>
              <w:rPr>
                <w:rFonts w:hint="default" w:ascii="Times New Roman" w:hAnsi="Times New Roman" w:eastAsia="方正仿宋_GBK" w:cs="Times New Roman"/>
                <w:szCs w:val="21"/>
                <w:highlight w:val="none"/>
              </w:rPr>
              <w:t>竞选</w:t>
            </w:r>
            <w:r>
              <w:rPr>
                <w:rFonts w:hint="default" w:ascii="Times New Roman" w:hAnsi="Times New Roman" w:eastAsia="方正仿宋_GBK" w:cs="Times New Roman"/>
                <w:szCs w:val="21"/>
                <w:highlight w:val="none"/>
                <w:lang w:eastAsia="zh-CN"/>
              </w:rPr>
              <w:t>报价</w:t>
            </w:r>
            <w:r>
              <w:rPr>
                <w:rFonts w:hint="default" w:ascii="Times New Roman" w:hAnsi="Times New Roman" w:eastAsia="方正仿宋_GBK" w:cs="Times New Roman"/>
                <w:szCs w:val="21"/>
                <w:highlight w:val="none"/>
              </w:rPr>
              <w:t>不得高于比选人公布的最高限价</w:t>
            </w:r>
          </w:p>
        </w:tc>
      </w:tr>
      <w:tr w14:paraId="38FF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0084BFDA">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29027107">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1CDA3D63">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竞选内容</w:t>
            </w:r>
          </w:p>
        </w:tc>
        <w:tc>
          <w:tcPr>
            <w:tcW w:w="5389" w:type="dxa"/>
            <w:noWrap w:val="0"/>
            <w:vAlign w:val="top"/>
          </w:tcPr>
          <w:p w14:paraId="2F8246CE">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符合第二章“竞选人须知</w:t>
            </w:r>
            <w:r>
              <w:rPr>
                <w:rFonts w:hint="default" w:ascii="Times New Roman" w:hAnsi="Times New Roman" w:eastAsia="方正仿宋_GBK" w:cs="Times New Roman"/>
                <w:szCs w:val="21"/>
                <w:lang w:eastAsia="zh-CN"/>
              </w:rPr>
              <w:t>前附表</w:t>
            </w:r>
            <w:r>
              <w:rPr>
                <w:rFonts w:hint="default" w:ascii="Times New Roman" w:hAnsi="Times New Roman" w:eastAsia="方正仿宋_GBK" w:cs="Times New Roman"/>
                <w:szCs w:val="21"/>
              </w:rPr>
              <w:t>”第1.3.1项规定</w:t>
            </w:r>
          </w:p>
        </w:tc>
      </w:tr>
      <w:tr w14:paraId="2552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5DB3CF8B">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7F46C95D">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701F7215">
            <w:pPr>
              <w:spacing w:line="500" w:lineRule="exact"/>
              <w:ind w:firstLine="420" w:firstLineChars="200"/>
              <w:rPr>
                <w:rFonts w:hint="default" w:ascii="Times New Roman" w:hAnsi="Times New Roman" w:eastAsia="方正仿宋_GBK" w:cs="Times New Roman"/>
                <w:szCs w:val="21"/>
              </w:rPr>
            </w:pPr>
            <w:r>
              <w:rPr>
                <w:rFonts w:hint="default" w:ascii="Times New Roman" w:hAnsi="Times New Roman" w:eastAsia="方正仿宋_GBK" w:cs="Times New Roman"/>
                <w:szCs w:val="21"/>
              </w:rPr>
              <w:t>工期或服务期</w:t>
            </w:r>
          </w:p>
        </w:tc>
        <w:tc>
          <w:tcPr>
            <w:tcW w:w="5389" w:type="dxa"/>
            <w:noWrap w:val="0"/>
            <w:vAlign w:val="top"/>
          </w:tcPr>
          <w:p w14:paraId="0A9A17AB">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符合第二章“竞选人须知</w:t>
            </w:r>
            <w:r>
              <w:rPr>
                <w:rFonts w:hint="default" w:ascii="Times New Roman" w:hAnsi="Times New Roman" w:eastAsia="方正仿宋_GBK" w:cs="Times New Roman"/>
                <w:szCs w:val="21"/>
                <w:lang w:eastAsia="zh-CN"/>
              </w:rPr>
              <w:t>前附表</w:t>
            </w:r>
            <w:r>
              <w:rPr>
                <w:rFonts w:hint="default" w:ascii="Times New Roman" w:hAnsi="Times New Roman" w:eastAsia="方正仿宋_GBK" w:cs="Times New Roman"/>
                <w:szCs w:val="21"/>
              </w:rPr>
              <w:t>”第1.3.2项规定</w:t>
            </w:r>
          </w:p>
        </w:tc>
      </w:tr>
      <w:tr w14:paraId="547A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27AE177C">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12ECB22F">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3C2B4CC9">
            <w:pPr>
              <w:spacing w:line="500" w:lineRule="exact"/>
              <w:jc w:val="center"/>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技术性能指标</w:t>
            </w:r>
          </w:p>
        </w:tc>
        <w:tc>
          <w:tcPr>
            <w:tcW w:w="5389" w:type="dxa"/>
            <w:noWrap w:val="0"/>
            <w:vAlign w:val="top"/>
          </w:tcPr>
          <w:p w14:paraId="119A72D0">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符合第二章“竞选人须知</w:t>
            </w:r>
            <w:r>
              <w:rPr>
                <w:rFonts w:hint="default" w:ascii="Times New Roman" w:hAnsi="Times New Roman" w:eastAsia="方正仿宋_GBK" w:cs="Times New Roman"/>
                <w:szCs w:val="21"/>
                <w:lang w:eastAsia="zh-CN"/>
              </w:rPr>
              <w:t>前附表</w:t>
            </w:r>
            <w:r>
              <w:rPr>
                <w:rFonts w:hint="default" w:ascii="Times New Roman" w:hAnsi="Times New Roman" w:eastAsia="方正仿宋_GBK" w:cs="Times New Roman"/>
                <w:szCs w:val="21"/>
              </w:rPr>
              <w:t>”第1.3.</w:t>
            </w:r>
            <w:r>
              <w:rPr>
                <w:rFonts w:hint="default" w:ascii="Times New Roman" w:hAnsi="Times New Roman" w:eastAsia="方正仿宋_GBK" w:cs="Times New Roman"/>
                <w:szCs w:val="21"/>
                <w:lang w:val="en-US" w:eastAsia="zh-CN"/>
              </w:rPr>
              <w:t>4</w:t>
            </w:r>
            <w:r>
              <w:rPr>
                <w:rFonts w:hint="default" w:ascii="Times New Roman" w:hAnsi="Times New Roman" w:eastAsia="方正仿宋_GBK" w:cs="Times New Roman"/>
                <w:szCs w:val="21"/>
              </w:rPr>
              <w:t>项规定</w:t>
            </w:r>
          </w:p>
        </w:tc>
      </w:tr>
      <w:tr w14:paraId="7D81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7A19CD4B">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530C8AB2">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66408368">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竞选保证金</w:t>
            </w:r>
          </w:p>
        </w:tc>
        <w:tc>
          <w:tcPr>
            <w:tcW w:w="5389" w:type="dxa"/>
            <w:noWrap w:val="0"/>
            <w:vAlign w:val="top"/>
          </w:tcPr>
          <w:p w14:paraId="56FCE95C">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符合第二章“竞选人须知</w:t>
            </w:r>
            <w:r>
              <w:rPr>
                <w:rFonts w:hint="default" w:ascii="Times New Roman" w:hAnsi="Times New Roman" w:eastAsia="方正仿宋_GBK" w:cs="Times New Roman"/>
                <w:szCs w:val="21"/>
                <w:lang w:eastAsia="zh-CN"/>
              </w:rPr>
              <w:t>前附表</w:t>
            </w:r>
            <w:r>
              <w:rPr>
                <w:rFonts w:hint="default" w:ascii="Times New Roman" w:hAnsi="Times New Roman" w:eastAsia="方正仿宋_GBK" w:cs="Times New Roman"/>
                <w:szCs w:val="21"/>
              </w:rPr>
              <w:t>”第3.4.1项规定</w:t>
            </w:r>
          </w:p>
        </w:tc>
      </w:tr>
      <w:tr w14:paraId="289F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39EC4714">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298339AE">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0F3E8BBD">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权利义务</w:t>
            </w:r>
          </w:p>
        </w:tc>
        <w:tc>
          <w:tcPr>
            <w:tcW w:w="5389" w:type="dxa"/>
            <w:noWrap w:val="0"/>
            <w:vAlign w:val="top"/>
          </w:tcPr>
          <w:p w14:paraId="1886387C">
            <w:pPr>
              <w:spacing w:line="240" w:lineRule="auto"/>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rPr>
              <w:t>符合第四章“合同条款及格式”规定，竞选文件不应附有比选人不能接受的条件</w:t>
            </w:r>
            <w:r>
              <w:rPr>
                <w:rFonts w:hint="default" w:ascii="Times New Roman" w:hAnsi="Times New Roman" w:eastAsia="方正仿宋_GBK" w:cs="Times New Roman"/>
                <w:szCs w:val="21"/>
                <w:lang w:eastAsia="zh-CN"/>
              </w:rPr>
              <w:t>。</w:t>
            </w:r>
          </w:p>
        </w:tc>
      </w:tr>
      <w:tr w14:paraId="4941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525" w:type="dxa"/>
            <w:vMerge w:val="continue"/>
            <w:noWrap w:val="0"/>
            <w:vAlign w:val="center"/>
          </w:tcPr>
          <w:p w14:paraId="144D2D22">
            <w:pPr>
              <w:spacing w:line="460" w:lineRule="exact"/>
              <w:jc w:val="center"/>
              <w:rPr>
                <w:rFonts w:hint="default" w:ascii="Times New Roman" w:hAnsi="Times New Roman" w:eastAsia="方正仿宋_GBK" w:cs="Times New Roman"/>
                <w:szCs w:val="21"/>
              </w:rPr>
            </w:pPr>
          </w:p>
        </w:tc>
        <w:tc>
          <w:tcPr>
            <w:tcW w:w="482" w:type="dxa"/>
            <w:vMerge w:val="continue"/>
            <w:noWrap w:val="0"/>
            <w:vAlign w:val="center"/>
          </w:tcPr>
          <w:p w14:paraId="6D8B16FD">
            <w:pPr>
              <w:spacing w:line="460" w:lineRule="exact"/>
              <w:jc w:val="center"/>
              <w:rPr>
                <w:rFonts w:hint="default" w:ascii="Times New Roman" w:hAnsi="Times New Roman" w:eastAsia="方正仿宋_GBK" w:cs="Times New Roman"/>
                <w:szCs w:val="21"/>
              </w:rPr>
            </w:pPr>
          </w:p>
        </w:tc>
        <w:tc>
          <w:tcPr>
            <w:tcW w:w="2628" w:type="dxa"/>
            <w:gridSpan w:val="2"/>
            <w:noWrap w:val="0"/>
            <w:vAlign w:val="center"/>
          </w:tcPr>
          <w:p w14:paraId="10E0D731">
            <w:pPr>
              <w:spacing w:line="5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实质性要求</w:t>
            </w:r>
          </w:p>
        </w:tc>
        <w:tc>
          <w:tcPr>
            <w:tcW w:w="5389" w:type="dxa"/>
            <w:noWrap w:val="0"/>
            <w:vAlign w:val="top"/>
          </w:tcPr>
          <w:p w14:paraId="290C1689">
            <w:pPr>
              <w:spacing w:line="5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符合比选文件中规定的其他实质性要求</w:t>
            </w:r>
          </w:p>
        </w:tc>
      </w:tr>
      <w:tr w14:paraId="7F6E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9" w:hRule="atLeast"/>
          <w:jc w:val="center"/>
        </w:trPr>
        <w:tc>
          <w:tcPr>
            <w:tcW w:w="525" w:type="dxa"/>
            <w:noWrap w:val="0"/>
            <w:vAlign w:val="center"/>
          </w:tcPr>
          <w:p w14:paraId="77C32F9B">
            <w:pPr>
              <w:spacing w:line="460" w:lineRule="exact"/>
              <w:jc w:val="center"/>
              <w:rPr>
                <w:rFonts w:hint="default" w:ascii="Times New Roman" w:hAnsi="Times New Roman" w:eastAsia="方正仿宋_GBK" w:cs="Times New Roman"/>
                <w:kern w:val="0"/>
              </w:rPr>
            </w:pPr>
            <w:r>
              <w:rPr>
                <w:rFonts w:hint="default" w:ascii="Times New Roman" w:hAnsi="Times New Roman" w:eastAsia="方正仿宋_GBK" w:cs="Times New Roman"/>
              </w:rPr>
              <w:t>3</w:t>
            </w:r>
          </w:p>
        </w:tc>
        <w:tc>
          <w:tcPr>
            <w:tcW w:w="1349" w:type="dxa"/>
            <w:gridSpan w:val="2"/>
            <w:noWrap w:val="0"/>
            <w:vAlign w:val="center"/>
          </w:tcPr>
          <w:p w14:paraId="4C9981B0">
            <w:pPr>
              <w:spacing w:line="500" w:lineRule="exact"/>
              <w:jc w:val="center"/>
              <w:rPr>
                <w:rFonts w:hint="default" w:ascii="Times New Roman" w:hAnsi="Times New Roman" w:eastAsia="方正仿宋_GBK" w:cs="Times New Roman"/>
              </w:rPr>
            </w:pPr>
            <w:r>
              <w:rPr>
                <w:rFonts w:hint="default" w:ascii="Times New Roman" w:hAnsi="Times New Roman" w:eastAsia="方正仿宋_GBK" w:cs="Times New Roman"/>
              </w:rPr>
              <w:t>评</w:t>
            </w:r>
          </w:p>
          <w:p w14:paraId="3D3F8150">
            <w:pPr>
              <w:spacing w:line="500" w:lineRule="exact"/>
              <w:jc w:val="center"/>
              <w:rPr>
                <w:rFonts w:hint="default" w:ascii="Times New Roman" w:hAnsi="Times New Roman" w:eastAsia="方正仿宋_GBK" w:cs="Times New Roman"/>
              </w:rPr>
            </w:pPr>
            <w:r>
              <w:rPr>
                <w:rFonts w:hint="default" w:ascii="Times New Roman" w:hAnsi="Times New Roman" w:eastAsia="方正仿宋_GBK" w:cs="Times New Roman"/>
              </w:rPr>
              <w:t>标</w:t>
            </w:r>
          </w:p>
          <w:p w14:paraId="28FA3BD4">
            <w:pPr>
              <w:spacing w:line="500" w:lineRule="exact"/>
              <w:jc w:val="center"/>
              <w:rPr>
                <w:rFonts w:hint="default" w:ascii="Times New Roman" w:hAnsi="Times New Roman" w:eastAsia="方正仿宋_GBK" w:cs="Times New Roman"/>
              </w:rPr>
            </w:pPr>
            <w:r>
              <w:rPr>
                <w:rFonts w:hint="default" w:ascii="Times New Roman" w:hAnsi="Times New Roman" w:eastAsia="方正仿宋_GBK" w:cs="Times New Roman"/>
              </w:rPr>
              <w:t>程</w:t>
            </w:r>
          </w:p>
          <w:p w14:paraId="5D9C733F">
            <w:pPr>
              <w:spacing w:line="500" w:lineRule="exact"/>
              <w:jc w:val="center"/>
              <w:rPr>
                <w:rFonts w:hint="default" w:ascii="Times New Roman" w:hAnsi="Times New Roman" w:eastAsia="方正仿宋_GBK" w:cs="Times New Roman"/>
                <w:kern w:val="0"/>
              </w:rPr>
            </w:pPr>
            <w:r>
              <w:rPr>
                <w:rFonts w:hint="default" w:ascii="Times New Roman" w:hAnsi="Times New Roman" w:eastAsia="方正仿宋_GBK" w:cs="Times New Roman"/>
              </w:rPr>
              <w:t>序</w:t>
            </w:r>
          </w:p>
        </w:tc>
        <w:tc>
          <w:tcPr>
            <w:tcW w:w="7150" w:type="dxa"/>
            <w:gridSpan w:val="2"/>
            <w:noWrap w:val="0"/>
            <w:vAlign w:val="top"/>
          </w:tcPr>
          <w:p w14:paraId="3796BDA9">
            <w:pPr>
              <w:keepNext w:val="0"/>
              <w:keepLines w:val="0"/>
              <w:pageBreakBefore w:val="0"/>
              <w:widowControl/>
              <w:kinsoku w:val="0"/>
              <w:wordWrap/>
              <w:overflowPunct/>
              <w:topLinePunct w:val="0"/>
              <w:autoSpaceDE w:val="0"/>
              <w:autoSpaceDN w:val="0"/>
              <w:bidi w:val="0"/>
              <w:adjustRightInd w:val="0"/>
              <w:snapToGrid w:val="0"/>
              <w:spacing w:after="24" w:afterLines="10" w:line="240" w:lineRule="auto"/>
              <w:jc w:val="left"/>
              <w:textAlignment w:val="baseline"/>
              <w:rPr>
                <w:rFonts w:hint="default" w:ascii="Times New Roman" w:hAnsi="Times New Roman" w:eastAsia="方正仿宋_GBK" w:cs="Times New Roman"/>
                <w:kern w:val="0"/>
                <w:szCs w:val="21"/>
                <w:highlight w:val="none"/>
              </w:rPr>
            </w:pPr>
            <w:r>
              <w:rPr>
                <w:rFonts w:hint="default" w:ascii="Times New Roman" w:hAnsi="Times New Roman" w:eastAsia="方正仿宋_GBK" w:cs="Times New Roman"/>
                <w:kern w:val="0"/>
                <w:szCs w:val="21"/>
                <w:highlight w:val="none"/>
              </w:rPr>
              <w:t>1.对</w:t>
            </w:r>
            <w:r>
              <w:rPr>
                <w:rFonts w:hint="default" w:ascii="Times New Roman" w:hAnsi="Times New Roman" w:eastAsia="方正仿宋_GBK" w:cs="Times New Roman"/>
                <w:kern w:val="0"/>
                <w:szCs w:val="21"/>
                <w:highlight w:val="none"/>
                <w:lang w:eastAsia="zh-CN"/>
              </w:rPr>
              <w:t>满足条件的竞选人进行符合性审查</w:t>
            </w:r>
            <w:r>
              <w:rPr>
                <w:rFonts w:hint="default" w:ascii="Times New Roman" w:hAnsi="Times New Roman" w:eastAsia="方正仿宋_GBK" w:cs="Times New Roman"/>
                <w:kern w:val="0"/>
                <w:szCs w:val="21"/>
                <w:highlight w:val="none"/>
              </w:rPr>
              <w:t>。</w:t>
            </w:r>
          </w:p>
          <w:p w14:paraId="6715F398">
            <w:pPr>
              <w:keepNext w:val="0"/>
              <w:keepLines w:val="0"/>
              <w:pageBreakBefore w:val="0"/>
              <w:widowControl/>
              <w:kinsoku w:val="0"/>
              <w:wordWrap/>
              <w:overflowPunct/>
              <w:topLinePunct w:val="0"/>
              <w:autoSpaceDE w:val="0"/>
              <w:autoSpaceDN w:val="0"/>
              <w:bidi w:val="0"/>
              <w:adjustRightInd w:val="0"/>
              <w:snapToGrid w:val="0"/>
              <w:spacing w:after="24" w:afterLines="10" w:line="240" w:lineRule="auto"/>
              <w:jc w:val="left"/>
              <w:textAlignment w:val="baseline"/>
              <w:rPr>
                <w:rFonts w:hint="default" w:ascii="Times New Roman" w:hAnsi="Times New Roman" w:eastAsia="方正仿宋_GBK" w:cs="Times New Roman"/>
                <w:kern w:val="0"/>
                <w:szCs w:val="21"/>
                <w:highlight w:val="none"/>
                <w:lang w:val="en-US" w:eastAsia="zh-CN"/>
              </w:rPr>
            </w:pPr>
            <w:r>
              <w:rPr>
                <w:rFonts w:hint="default" w:ascii="Times New Roman" w:hAnsi="Times New Roman" w:eastAsia="方正仿宋_GBK" w:cs="Times New Roman"/>
                <w:kern w:val="0"/>
                <w:szCs w:val="21"/>
                <w:highlight w:val="none"/>
              </w:rPr>
              <w:t>2.</w:t>
            </w:r>
            <w:r>
              <w:rPr>
                <w:rFonts w:hint="default" w:ascii="Times New Roman" w:hAnsi="Times New Roman" w:eastAsia="方正仿宋_GBK" w:cs="Times New Roman"/>
                <w:kern w:val="0"/>
                <w:szCs w:val="21"/>
                <w:highlight w:val="none"/>
                <w:lang w:eastAsia="zh-CN"/>
              </w:rPr>
              <w:t>对通过符合性审查的竞选人进行报价评审。经评审的报价 = 竞选人含税报价 − 比选人可抵扣进项税额。</w:t>
            </w:r>
          </w:p>
          <w:p w14:paraId="1911CABB">
            <w:pPr>
              <w:keepNext w:val="0"/>
              <w:keepLines w:val="0"/>
              <w:pageBreakBefore w:val="0"/>
              <w:widowControl/>
              <w:kinsoku w:val="0"/>
              <w:wordWrap/>
              <w:overflowPunct/>
              <w:topLinePunct w:val="0"/>
              <w:autoSpaceDE w:val="0"/>
              <w:autoSpaceDN w:val="0"/>
              <w:bidi w:val="0"/>
              <w:adjustRightInd w:val="0"/>
              <w:snapToGrid w:val="0"/>
              <w:spacing w:after="24" w:afterLines="10" w:line="240" w:lineRule="auto"/>
              <w:jc w:val="left"/>
              <w:textAlignment w:val="baseline"/>
              <w:rPr>
                <w:rFonts w:hint="default" w:ascii="Times New Roman" w:hAnsi="Times New Roman" w:eastAsia="方正仿宋_GBK" w:cs="Times New Roman"/>
                <w:spacing w:val="4"/>
                <w:kern w:val="0"/>
                <w:szCs w:val="21"/>
                <w:highlight w:val="none"/>
                <w:lang w:eastAsia="zh-CN"/>
              </w:rPr>
            </w:pPr>
            <w:r>
              <w:rPr>
                <w:rFonts w:hint="default" w:ascii="Times New Roman" w:hAnsi="Times New Roman" w:eastAsia="方正仿宋_GBK" w:cs="Times New Roman"/>
                <w:spacing w:val="4"/>
                <w:kern w:val="0"/>
                <w:szCs w:val="21"/>
                <w:highlight w:val="none"/>
                <w:lang w:val="en-US" w:eastAsia="zh-CN"/>
              </w:rPr>
              <w:t>2.1</w:t>
            </w:r>
            <w:r>
              <w:rPr>
                <w:rFonts w:hint="default" w:ascii="Times New Roman" w:hAnsi="Times New Roman" w:eastAsia="方正仿宋_GBK" w:cs="Times New Roman"/>
                <w:spacing w:val="4"/>
                <w:kern w:val="0"/>
                <w:szCs w:val="21"/>
                <w:highlight w:val="none"/>
              </w:rPr>
              <w:t>竞选人应在报价文件中明确拟提供的发票类型（增值税专用发票</w:t>
            </w:r>
            <w:r>
              <w:rPr>
                <w:rFonts w:hint="default" w:ascii="Times New Roman" w:hAnsi="Times New Roman" w:eastAsia="方正仿宋_GBK" w:cs="Times New Roman"/>
                <w:spacing w:val="4"/>
                <w:kern w:val="0"/>
                <w:szCs w:val="21"/>
                <w:highlight w:val="none"/>
                <w:lang w:val="en-US" w:eastAsia="zh-CN"/>
              </w:rPr>
              <w:t>/</w:t>
            </w:r>
            <w:r>
              <w:rPr>
                <w:rFonts w:hint="default" w:ascii="Times New Roman" w:hAnsi="Times New Roman" w:eastAsia="方正仿宋_GBK" w:cs="Times New Roman"/>
                <w:spacing w:val="4"/>
                <w:kern w:val="0"/>
                <w:szCs w:val="21"/>
                <w:highlight w:val="none"/>
              </w:rPr>
              <w:t>普通发票）及适用税率</w:t>
            </w:r>
            <w:r>
              <w:rPr>
                <w:rFonts w:hint="default" w:ascii="Times New Roman" w:hAnsi="Times New Roman" w:eastAsia="方正仿宋_GBK" w:cs="Times New Roman"/>
                <w:spacing w:val="4"/>
                <w:kern w:val="0"/>
                <w:szCs w:val="21"/>
                <w:highlight w:val="none"/>
                <w:lang w:eastAsia="zh-CN"/>
              </w:rPr>
              <w:t>。</w:t>
            </w:r>
          </w:p>
          <w:p w14:paraId="7B37EC9B">
            <w:pPr>
              <w:keepNext w:val="0"/>
              <w:keepLines w:val="0"/>
              <w:pageBreakBefore w:val="0"/>
              <w:widowControl/>
              <w:kinsoku w:val="0"/>
              <w:wordWrap/>
              <w:overflowPunct/>
              <w:topLinePunct w:val="0"/>
              <w:autoSpaceDE w:val="0"/>
              <w:autoSpaceDN w:val="0"/>
              <w:bidi w:val="0"/>
              <w:adjustRightInd w:val="0"/>
              <w:snapToGrid w:val="0"/>
              <w:spacing w:after="24" w:afterLines="10" w:line="240" w:lineRule="auto"/>
              <w:jc w:val="left"/>
              <w:textAlignment w:val="baseline"/>
              <w:rPr>
                <w:rFonts w:hint="default" w:ascii="Times New Roman" w:hAnsi="Times New Roman" w:eastAsia="方正仿宋_GBK" w:cs="Times New Roman"/>
                <w:spacing w:val="4"/>
                <w:kern w:val="0"/>
                <w:szCs w:val="21"/>
                <w:highlight w:val="none"/>
              </w:rPr>
            </w:pPr>
            <w:r>
              <w:rPr>
                <w:rFonts w:hint="default" w:ascii="Times New Roman" w:hAnsi="Times New Roman" w:eastAsia="方正仿宋_GBK" w:cs="Times New Roman"/>
                <w:spacing w:val="4"/>
                <w:kern w:val="0"/>
                <w:szCs w:val="21"/>
                <w:highlight w:val="none"/>
                <w:lang w:val="en-US" w:eastAsia="zh-CN"/>
              </w:rPr>
              <w:t>2.2</w:t>
            </w:r>
            <w:r>
              <w:rPr>
                <w:rFonts w:hint="default" w:ascii="Times New Roman" w:hAnsi="Times New Roman" w:eastAsia="方正仿宋_GBK" w:cs="Times New Roman"/>
                <w:spacing w:val="4"/>
                <w:kern w:val="0"/>
                <w:szCs w:val="21"/>
                <w:highlight w:val="none"/>
              </w:rPr>
              <w:t>提供增值税专用发票的，可抵扣进项税额按其承诺税率计算；</w:t>
            </w:r>
          </w:p>
          <w:p w14:paraId="3CA6A3B8">
            <w:pPr>
              <w:keepNext w:val="0"/>
              <w:keepLines w:val="0"/>
              <w:pageBreakBefore w:val="0"/>
              <w:widowControl/>
              <w:kinsoku w:val="0"/>
              <w:wordWrap/>
              <w:overflowPunct/>
              <w:topLinePunct w:val="0"/>
              <w:autoSpaceDE w:val="0"/>
              <w:autoSpaceDN w:val="0"/>
              <w:bidi w:val="0"/>
              <w:adjustRightInd w:val="0"/>
              <w:snapToGrid w:val="0"/>
              <w:spacing w:after="24" w:afterLines="10" w:line="240" w:lineRule="auto"/>
              <w:jc w:val="left"/>
              <w:textAlignment w:val="baseline"/>
              <w:rPr>
                <w:rFonts w:hint="default" w:ascii="Times New Roman" w:hAnsi="Times New Roman" w:eastAsia="方正仿宋_GBK" w:cs="Times New Roman"/>
                <w:spacing w:val="4"/>
                <w:kern w:val="0"/>
                <w:szCs w:val="21"/>
                <w:highlight w:val="none"/>
              </w:rPr>
            </w:pPr>
            <w:r>
              <w:rPr>
                <w:rFonts w:hint="default" w:ascii="Times New Roman" w:hAnsi="Times New Roman" w:eastAsia="方正仿宋_GBK" w:cs="Times New Roman"/>
                <w:spacing w:val="4"/>
                <w:kern w:val="0"/>
                <w:szCs w:val="21"/>
                <w:highlight w:val="none"/>
                <w:lang w:val="en-US" w:eastAsia="zh-CN"/>
              </w:rPr>
              <w:t>2.3</w:t>
            </w:r>
            <w:r>
              <w:rPr>
                <w:rFonts w:hint="default" w:ascii="Times New Roman" w:hAnsi="Times New Roman" w:eastAsia="方正仿宋_GBK" w:cs="Times New Roman"/>
                <w:spacing w:val="4"/>
                <w:kern w:val="0"/>
                <w:szCs w:val="21"/>
                <w:highlight w:val="none"/>
              </w:rPr>
              <w:t>提供增值税普通发票或其他不能抵扣进项税发票的，可抵扣进项税额为</w:t>
            </w:r>
            <w:r>
              <w:rPr>
                <w:rFonts w:hint="default" w:ascii="Times New Roman" w:hAnsi="Times New Roman" w:eastAsia="方正仿宋_GBK" w:cs="Times New Roman"/>
                <w:spacing w:val="4"/>
                <w:kern w:val="0"/>
                <w:szCs w:val="21"/>
                <w:highlight w:val="none"/>
                <w:lang w:val="en-US" w:eastAsia="zh-CN"/>
              </w:rPr>
              <w:t>0</w:t>
            </w:r>
            <w:r>
              <w:rPr>
                <w:rFonts w:hint="default" w:ascii="Times New Roman" w:hAnsi="Times New Roman" w:eastAsia="方正仿宋_GBK" w:cs="Times New Roman"/>
                <w:spacing w:val="4"/>
                <w:kern w:val="0"/>
                <w:szCs w:val="21"/>
                <w:highlight w:val="none"/>
              </w:rPr>
              <w:t>；</w:t>
            </w:r>
          </w:p>
          <w:p w14:paraId="1FBF58CD">
            <w:pPr>
              <w:keepNext w:val="0"/>
              <w:keepLines w:val="0"/>
              <w:pageBreakBefore w:val="0"/>
              <w:widowControl/>
              <w:kinsoku w:val="0"/>
              <w:wordWrap/>
              <w:overflowPunct/>
              <w:topLinePunct w:val="0"/>
              <w:autoSpaceDE w:val="0"/>
              <w:autoSpaceDN w:val="0"/>
              <w:bidi w:val="0"/>
              <w:adjustRightInd w:val="0"/>
              <w:snapToGrid w:val="0"/>
              <w:spacing w:after="24" w:afterLines="10" w:line="240" w:lineRule="auto"/>
              <w:jc w:val="left"/>
              <w:textAlignment w:val="baseline"/>
              <w:rPr>
                <w:rFonts w:hint="default" w:ascii="Times New Roman" w:hAnsi="Times New Roman" w:eastAsia="方正仿宋_GBK" w:cs="Times New Roman"/>
                <w:spacing w:val="4"/>
                <w:kern w:val="0"/>
                <w:szCs w:val="21"/>
                <w:highlight w:val="none"/>
              </w:rPr>
            </w:pPr>
            <w:r>
              <w:rPr>
                <w:rFonts w:hint="default" w:ascii="Times New Roman" w:hAnsi="Times New Roman" w:eastAsia="方正仿宋_GBK" w:cs="Times New Roman"/>
                <w:spacing w:val="4"/>
                <w:kern w:val="0"/>
                <w:szCs w:val="21"/>
                <w:highlight w:val="none"/>
                <w:lang w:val="en-US" w:eastAsia="zh-CN"/>
              </w:rPr>
              <w:t>2.4</w:t>
            </w:r>
            <w:r>
              <w:rPr>
                <w:rFonts w:hint="default" w:ascii="Times New Roman" w:hAnsi="Times New Roman" w:eastAsia="方正仿宋_GBK" w:cs="Times New Roman"/>
                <w:spacing w:val="4"/>
                <w:kern w:val="0"/>
                <w:szCs w:val="21"/>
                <w:highlight w:val="none"/>
              </w:rPr>
              <w:t>按经评审的报价由低到高排序，推荐经评审的报价最低的为第一中选候选人；</w:t>
            </w:r>
          </w:p>
          <w:p w14:paraId="4B75A83D">
            <w:pPr>
              <w:keepNext w:val="0"/>
              <w:keepLines w:val="0"/>
              <w:pageBreakBefore w:val="0"/>
              <w:widowControl/>
              <w:kinsoku w:val="0"/>
              <w:wordWrap/>
              <w:overflowPunct/>
              <w:topLinePunct w:val="0"/>
              <w:autoSpaceDE w:val="0"/>
              <w:autoSpaceDN w:val="0"/>
              <w:bidi w:val="0"/>
              <w:adjustRightInd w:val="0"/>
              <w:snapToGrid w:val="0"/>
              <w:spacing w:after="24" w:afterLines="10" w:line="240" w:lineRule="auto"/>
              <w:jc w:val="left"/>
              <w:textAlignment w:val="baseline"/>
              <w:rPr>
                <w:rFonts w:hint="default" w:ascii="Times New Roman" w:hAnsi="Times New Roman" w:eastAsia="方正仿宋_GBK" w:cs="Times New Roman"/>
                <w:spacing w:val="4"/>
                <w:kern w:val="0"/>
                <w:szCs w:val="21"/>
                <w:highlight w:val="none"/>
                <w:lang w:val="en-US" w:eastAsia="zh-CN"/>
              </w:rPr>
            </w:pPr>
            <w:r>
              <w:rPr>
                <w:rFonts w:hint="default" w:ascii="Times New Roman" w:hAnsi="Times New Roman" w:eastAsia="方正仿宋_GBK" w:cs="Times New Roman"/>
                <w:spacing w:val="4"/>
                <w:kern w:val="0"/>
                <w:szCs w:val="21"/>
                <w:highlight w:val="none"/>
                <w:lang w:val="en-US" w:eastAsia="zh-CN"/>
              </w:rPr>
              <w:t>2.5</w:t>
            </w:r>
            <w:r>
              <w:rPr>
                <w:rFonts w:hint="default" w:ascii="Times New Roman" w:hAnsi="Times New Roman" w:eastAsia="方正仿宋_GBK" w:cs="Times New Roman"/>
                <w:spacing w:val="4"/>
                <w:kern w:val="0"/>
                <w:szCs w:val="21"/>
                <w:highlight w:val="none"/>
              </w:rPr>
              <w:t>合同金额按含税报价执行，发票类型及税率以竞选人承诺为准。</w:t>
            </w:r>
          </w:p>
          <w:p w14:paraId="79DA7643">
            <w:pPr>
              <w:keepNext w:val="0"/>
              <w:keepLines w:val="0"/>
              <w:pageBreakBefore w:val="0"/>
              <w:widowControl/>
              <w:kinsoku w:val="0"/>
              <w:wordWrap/>
              <w:overflowPunct/>
              <w:topLinePunct w:val="0"/>
              <w:autoSpaceDE w:val="0"/>
              <w:autoSpaceDN w:val="0"/>
              <w:bidi w:val="0"/>
              <w:adjustRightInd w:val="0"/>
              <w:snapToGrid w:val="0"/>
              <w:spacing w:after="24" w:afterLines="10" w:line="240" w:lineRule="auto"/>
              <w:jc w:val="left"/>
              <w:textAlignment w:val="baseline"/>
              <w:rPr>
                <w:rFonts w:hint="default" w:ascii="Times New Roman" w:hAnsi="Times New Roman" w:eastAsia="方正仿宋_GBK" w:cs="Times New Roman"/>
                <w:kern w:val="0"/>
                <w:szCs w:val="21"/>
                <w:highlight w:val="none"/>
              </w:rPr>
            </w:pPr>
            <w:r>
              <w:rPr>
                <w:rFonts w:hint="default" w:ascii="Times New Roman" w:hAnsi="Times New Roman" w:eastAsia="方正仿宋_GBK" w:cs="Times New Roman"/>
                <w:kern w:val="0"/>
                <w:szCs w:val="21"/>
                <w:highlight w:val="none"/>
              </w:rPr>
              <w:t>3.</w:t>
            </w:r>
            <w:r>
              <w:rPr>
                <w:rFonts w:hint="default" w:ascii="Times New Roman" w:hAnsi="Times New Roman" w:eastAsia="方正仿宋_GBK" w:cs="Times New Roman"/>
                <w:spacing w:val="4"/>
                <w:kern w:val="0"/>
                <w:szCs w:val="21"/>
                <w:highlight w:val="none"/>
              </w:rPr>
              <w:t>若上述程序未能评出三名中选候选人</w:t>
            </w:r>
            <w:r>
              <w:rPr>
                <w:rFonts w:hint="default" w:ascii="Times New Roman" w:hAnsi="Times New Roman" w:eastAsia="方正仿宋_GBK" w:cs="Times New Roman"/>
                <w:kern w:val="0"/>
                <w:szCs w:val="21"/>
                <w:highlight w:val="none"/>
              </w:rPr>
              <w:t>，则</w:t>
            </w:r>
            <w:r>
              <w:rPr>
                <w:rFonts w:hint="default" w:ascii="Times New Roman" w:hAnsi="Times New Roman" w:eastAsia="方正仿宋_GBK" w:cs="Times New Roman"/>
                <w:kern w:val="0"/>
                <w:szCs w:val="21"/>
                <w:highlight w:val="none"/>
                <w:lang w:eastAsia="zh-CN"/>
              </w:rPr>
              <w:t>评审小组</w:t>
            </w:r>
            <w:r>
              <w:rPr>
                <w:rFonts w:hint="default" w:ascii="Times New Roman" w:hAnsi="Times New Roman" w:eastAsia="方正仿宋_GBK" w:cs="Times New Roman"/>
                <w:kern w:val="0"/>
                <w:szCs w:val="21"/>
                <w:highlight w:val="none"/>
              </w:rPr>
              <w:t>对剩余竞选文件继续按上述第2条进行评审，直至评出三名中选候选人，或者评审完所有竞选文件。</w:t>
            </w:r>
          </w:p>
          <w:p w14:paraId="143B616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rPr>
            </w:pPr>
            <w:r>
              <w:rPr>
                <w:rFonts w:hint="default" w:ascii="Times New Roman" w:hAnsi="Times New Roman" w:eastAsia="方正仿宋_GBK" w:cs="Times New Roman"/>
                <w:kern w:val="0"/>
                <w:szCs w:val="21"/>
                <w:highlight w:val="none"/>
              </w:rPr>
              <w:t>4.</w:t>
            </w:r>
            <w:r>
              <w:rPr>
                <w:rFonts w:hint="default" w:ascii="Times New Roman" w:hAnsi="Times New Roman" w:eastAsia="方正仿宋_GBK" w:cs="Times New Roman"/>
                <w:highlight w:val="none"/>
              </w:rPr>
              <w:t xml:space="preserve"> </w:t>
            </w:r>
            <w:r>
              <w:rPr>
                <w:rFonts w:hint="default" w:ascii="Times New Roman" w:hAnsi="Times New Roman" w:eastAsia="方正仿宋_GBK" w:cs="Times New Roman"/>
                <w:kern w:val="0"/>
                <w:szCs w:val="21"/>
                <w:highlight w:val="none"/>
              </w:rPr>
              <w:t>因</w:t>
            </w:r>
            <w:r>
              <w:rPr>
                <w:rFonts w:hint="default" w:ascii="Times New Roman" w:hAnsi="Times New Roman" w:eastAsia="方正仿宋_GBK" w:cs="Times New Roman"/>
                <w:kern w:val="0"/>
                <w:szCs w:val="21"/>
                <w:highlight w:val="none"/>
                <w:lang w:eastAsia="zh-CN"/>
              </w:rPr>
              <w:t>评审小组</w:t>
            </w:r>
            <w:r>
              <w:rPr>
                <w:rFonts w:hint="default" w:ascii="Times New Roman" w:hAnsi="Times New Roman" w:eastAsia="方正仿宋_GBK" w:cs="Times New Roman"/>
                <w:kern w:val="0"/>
                <w:szCs w:val="21"/>
                <w:highlight w:val="none"/>
              </w:rPr>
              <w:t>作否决</w:t>
            </w:r>
            <w:r>
              <w:rPr>
                <w:rFonts w:hint="default" w:ascii="Times New Roman" w:hAnsi="Times New Roman" w:eastAsia="方正仿宋_GBK" w:cs="Times New Roman"/>
                <w:kern w:val="0"/>
                <w:szCs w:val="21"/>
                <w:highlight w:val="none"/>
                <w:lang w:eastAsia="zh-CN"/>
              </w:rPr>
              <w:t>竞选</w:t>
            </w:r>
            <w:r>
              <w:rPr>
                <w:rFonts w:hint="default" w:ascii="Times New Roman" w:hAnsi="Times New Roman" w:eastAsia="方正仿宋_GBK" w:cs="Times New Roman"/>
                <w:kern w:val="0"/>
                <w:szCs w:val="21"/>
                <w:highlight w:val="none"/>
              </w:rPr>
              <w:t>处理，导致有效竞选人不足三个的，</w:t>
            </w:r>
            <w:r>
              <w:rPr>
                <w:rFonts w:hint="default" w:ascii="Times New Roman" w:hAnsi="Times New Roman" w:eastAsia="方正仿宋_GBK" w:cs="Times New Roman"/>
                <w:kern w:val="0"/>
                <w:szCs w:val="21"/>
                <w:highlight w:val="none"/>
                <w:lang w:eastAsia="zh-CN"/>
              </w:rPr>
              <w:t>评审小组</w:t>
            </w:r>
            <w:r>
              <w:rPr>
                <w:rFonts w:hint="default" w:ascii="Times New Roman" w:hAnsi="Times New Roman" w:eastAsia="方正仿宋_GBK" w:cs="Times New Roman"/>
                <w:kern w:val="0"/>
                <w:szCs w:val="21"/>
                <w:highlight w:val="none"/>
              </w:rPr>
              <w:t>应当否决所有</w:t>
            </w:r>
            <w:r>
              <w:rPr>
                <w:rFonts w:hint="default" w:ascii="Times New Roman" w:hAnsi="Times New Roman" w:eastAsia="方正仿宋_GBK" w:cs="Times New Roman"/>
                <w:kern w:val="0"/>
                <w:szCs w:val="21"/>
                <w:highlight w:val="none"/>
                <w:lang w:eastAsia="zh-CN"/>
              </w:rPr>
              <w:t>竞选</w:t>
            </w:r>
            <w:r>
              <w:rPr>
                <w:rFonts w:hint="default" w:ascii="Times New Roman" w:hAnsi="Times New Roman" w:eastAsia="方正仿宋_GBK" w:cs="Times New Roman"/>
                <w:kern w:val="0"/>
                <w:szCs w:val="21"/>
                <w:highlight w:val="none"/>
              </w:rPr>
              <w:t>。但是有效竞选人的经济、技术等指标仍然具有市场竞争力，并满足竞选文件要求的，</w:t>
            </w:r>
            <w:r>
              <w:rPr>
                <w:rFonts w:hint="default" w:ascii="Times New Roman" w:hAnsi="Times New Roman" w:eastAsia="方正仿宋_GBK" w:cs="Times New Roman"/>
                <w:kern w:val="0"/>
                <w:szCs w:val="21"/>
                <w:highlight w:val="none"/>
                <w:lang w:eastAsia="zh-CN"/>
              </w:rPr>
              <w:t>评审小组</w:t>
            </w:r>
            <w:r>
              <w:rPr>
                <w:rFonts w:hint="default" w:ascii="Times New Roman" w:hAnsi="Times New Roman" w:eastAsia="方正仿宋_GBK" w:cs="Times New Roman"/>
                <w:kern w:val="0"/>
                <w:szCs w:val="21"/>
                <w:highlight w:val="none"/>
              </w:rPr>
              <w:t>可以继续</w:t>
            </w:r>
            <w:r>
              <w:rPr>
                <w:rFonts w:hint="default" w:ascii="Times New Roman" w:hAnsi="Times New Roman" w:eastAsia="方正仿宋_GBK" w:cs="Times New Roman"/>
                <w:kern w:val="0"/>
                <w:szCs w:val="21"/>
                <w:highlight w:val="none"/>
                <w:lang w:eastAsia="zh-CN"/>
              </w:rPr>
              <w:t>评审</w:t>
            </w:r>
            <w:r>
              <w:rPr>
                <w:rFonts w:hint="default" w:ascii="Times New Roman" w:hAnsi="Times New Roman" w:eastAsia="方正仿宋_GBK" w:cs="Times New Roman"/>
                <w:kern w:val="0"/>
                <w:szCs w:val="21"/>
                <w:highlight w:val="none"/>
              </w:rPr>
              <w:t>并确定中选候选人。</w:t>
            </w:r>
          </w:p>
        </w:tc>
      </w:tr>
      <w:tr w14:paraId="4DC6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525" w:type="dxa"/>
            <w:noWrap w:val="0"/>
            <w:vAlign w:val="center"/>
          </w:tcPr>
          <w:p w14:paraId="0CEB73DC">
            <w:pPr>
              <w:spacing w:line="400" w:lineRule="exact"/>
              <w:jc w:val="center"/>
              <w:rPr>
                <w:rFonts w:hint="default" w:ascii="Times New Roman" w:hAnsi="Times New Roman" w:eastAsia="方正仿宋_GBK" w:cs="Times New Roman"/>
              </w:rPr>
            </w:pPr>
            <w:r>
              <w:rPr>
                <w:rFonts w:hint="default" w:ascii="Times New Roman" w:hAnsi="Times New Roman" w:eastAsia="方正仿宋_GBK" w:cs="Times New Roman"/>
              </w:rPr>
              <w:t>3.4</w:t>
            </w:r>
          </w:p>
        </w:tc>
        <w:tc>
          <w:tcPr>
            <w:tcW w:w="1349" w:type="dxa"/>
            <w:gridSpan w:val="2"/>
            <w:noWrap w:val="0"/>
            <w:vAlign w:val="center"/>
          </w:tcPr>
          <w:p w14:paraId="56C7FBF7">
            <w:pPr>
              <w:spacing w:line="400" w:lineRule="exact"/>
              <w:jc w:val="center"/>
              <w:rPr>
                <w:rFonts w:hint="default" w:ascii="Times New Roman" w:hAnsi="Times New Roman" w:eastAsia="方正仿宋_GBK" w:cs="Times New Roman"/>
              </w:rPr>
            </w:pPr>
            <w:r>
              <w:rPr>
                <w:rFonts w:hint="default" w:ascii="Times New Roman" w:hAnsi="Times New Roman" w:eastAsia="方正仿宋_GBK" w:cs="Times New Roman"/>
                <w:lang w:eastAsia="zh-CN"/>
              </w:rPr>
              <w:t>评审</w:t>
            </w:r>
            <w:r>
              <w:rPr>
                <w:rFonts w:hint="default" w:ascii="Times New Roman" w:hAnsi="Times New Roman" w:eastAsia="方正仿宋_GBK" w:cs="Times New Roman"/>
              </w:rPr>
              <w:t>结果</w:t>
            </w:r>
          </w:p>
        </w:tc>
        <w:tc>
          <w:tcPr>
            <w:tcW w:w="7150" w:type="dxa"/>
            <w:gridSpan w:val="2"/>
            <w:noWrap w:val="0"/>
            <w:vAlign w:val="center"/>
          </w:tcPr>
          <w:p w14:paraId="6C7D6AC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kern w:val="0"/>
                <w:szCs w:val="21"/>
                <w:highlight w:val="none"/>
              </w:rPr>
            </w:pPr>
            <w:r>
              <w:rPr>
                <w:rFonts w:hint="default" w:ascii="Times New Roman" w:hAnsi="Times New Roman" w:eastAsia="方正仿宋_GBK" w:cs="Times New Roman"/>
                <w:kern w:val="0"/>
                <w:szCs w:val="21"/>
                <w:highlight w:val="none"/>
              </w:rPr>
              <w:t>3.4.1 除第二章“竞选人须知”前附表授权直接确定</w:t>
            </w:r>
            <w:r>
              <w:rPr>
                <w:rFonts w:hint="default" w:ascii="Times New Roman" w:hAnsi="Times New Roman" w:eastAsia="方正仿宋_GBK" w:cs="Times New Roman"/>
                <w:kern w:val="0"/>
                <w:szCs w:val="21"/>
                <w:highlight w:val="none"/>
                <w:lang w:eastAsia="zh-CN"/>
              </w:rPr>
              <w:t>中选</w:t>
            </w:r>
            <w:r>
              <w:rPr>
                <w:rFonts w:hint="default" w:ascii="Times New Roman" w:hAnsi="Times New Roman" w:eastAsia="方正仿宋_GBK" w:cs="Times New Roman"/>
                <w:kern w:val="0"/>
                <w:szCs w:val="21"/>
                <w:highlight w:val="none"/>
              </w:rPr>
              <w:t>人外，评审小组按照经评审的报价由低到高推荐排名前3名的竞选人为成交候选人。</w:t>
            </w:r>
          </w:p>
          <w:p w14:paraId="070AA36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方正仿宋_GBK" w:cs="Times New Roman"/>
              </w:rPr>
            </w:pPr>
            <w:r>
              <w:rPr>
                <w:rFonts w:hint="default" w:ascii="Times New Roman" w:hAnsi="Times New Roman" w:eastAsia="方正仿宋_GBK" w:cs="Times New Roman"/>
                <w:kern w:val="0"/>
                <w:szCs w:val="21"/>
                <w:highlight w:val="none"/>
              </w:rPr>
              <w:t xml:space="preserve">3.4.2 </w:t>
            </w:r>
            <w:r>
              <w:rPr>
                <w:rFonts w:hint="default" w:ascii="Times New Roman" w:hAnsi="Times New Roman" w:eastAsia="方正仿宋_GBK" w:cs="Times New Roman"/>
                <w:kern w:val="0"/>
                <w:szCs w:val="21"/>
                <w:highlight w:val="none"/>
                <w:lang w:eastAsia="zh-CN"/>
              </w:rPr>
              <w:t>评审小组</w:t>
            </w:r>
            <w:r>
              <w:rPr>
                <w:rFonts w:hint="default" w:ascii="Times New Roman" w:hAnsi="Times New Roman" w:eastAsia="方正仿宋_GBK" w:cs="Times New Roman"/>
                <w:kern w:val="0"/>
                <w:szCs w:val="21"/>
                <w:highlight w:val="none"/>
              </w:rPr>
              <w:t>完成</w:t>
            </w:r>
            <w:r>
              <w:rPr>
                <w:rFonts w:hint="default" w:ascii="Times New Roman" w:hAnsi="Times New Roman" w:eastAsia="方正仿宋_GBK" w:cs="Times New Roman"/>
                <w:kern w:val="0"/>
                <w:szCs w:val="21"/>
                <w:highlight w:val="none"/>
                <w:lang w:eastAsia="zh-CN"/>
              </w:rPr>
              <w:t>评审</w:t>
            </w:r>
            <w:r>
              <w:rPr>
                <w:rFonts w:hint="default" w:ascii="Times New Roman" w:hAnsi="Times New Roman" w:eastAsia="方正仿宋_GBK" w:cs="Times New Roman"/>
                <w:kern w:val="0"/>
                <w:szCs w:val="21"/>
                <w:highlight w:val="none"/>
              </w:rPr>
              <w:t>后，应当向比选人提交书面</w:t>
            </w:r>
            <w:r>
              <w:rPr>
                <w:rFonts w:hint="default" w:ascii="Times New Roman" w:hAnsi="Times New Roman" w:eastAsia="方正仿宋_GBK" w:cs="Times New Roman"/>
                <w:kern w:val="0"/>
                <w:szCs w:val="21"/>
                <w:highlight w:val="none"/>
                <w:lang w:eastAsia="zh-CN"/>
              </w:rPr>
              <w:t>评审</w:t>
            </w:r>
            <w:r>
              <w:rPr>
                <w:rFonts w:hint="default" w:ascii="Times New Roman" w:hAnsi="Times New Roman" w:eastAsia="方正仿宋_GBK" w:cs="Times New Roman"/>
                <w:kern w:val="0"/>
                <w:szCs w:val="21"/>
                <w:highlight w:val="none"/>
              </w:rPr>
              <w:t>报告。</w:t>
            </w:r>
          </w:p>
        </w:tc>
      </w:tr>
    </w:tbl>
    <w:p w14:paraId="09155AB9">
      <w:pPr>
        <w:rPr>
          <w:rFonts w:hint="eastAsia"/>
          <w:lang w:val="en-US" w:eastAsia="zh-CN"/>
        </w:rPr>
      </w:pPr>
    </w:p>
    <w:p w14:paraId="026E0B13">
      <w:pPr>
        <w:pStyle w:val="6"/>
        <w:pageBreakBefore w:val="0"/>
        <w:wordWrap/>
        <w:overflowPunct/>
        <w:topLinePunct w:val="0"/>
        <w:bidi w:val="0"/>
        <w:snapToGrid w:val="0"/>
        <w:spacing w:line="240" w:lineRule="auto"/>
        <w:rPr>
          <w:rFonts w:hint="eastAsia" w:ascii="方正仿宋_GB18030" w:hAnsi="方正仿宋_GB18030" w:eastAsia="方正仿宋_GB18030" w:cs="方正仿宋_GB18030"/>
          <w:color w:val="auto"/>
          <w:lang w:val="en-US" w:eastAsia="zh-CN"/>
        </w:rPr>
      </w:pPr>
    </w:p>
    <w:p w14:paraId="66568455">
      <w:pPr>
        <w:pStyle w:val="6"/>
        <w:pageBreakBefore w:val="0"/>
        <w:wordWrap/>
        <w:overflowPunct/>
        <w:topLinePunct w:val="0"/>
        <w:bidi w:val="0"/>
        <w:snapToGrid w:val="0"/>
        <w:spacing w:line="240" w:lineRule="auto"/>
        <w:rPr>
          <w:rFonts w:hint="eastAsia" w:ascii="方正仿宋_GB18030" w:hAnsi="方正仿宋_GB18030" w:eastAsia="方正仿宋_GB18030" w:cs="方正仿宋_GB18030"/>
          <w:color w:val="auto"/>
          <w:lang w:val="en-US" w:eastAsia="zh-CN"/>
        </w:rPr>
      </w:pPr>
    </w:p>
    <w:p w14:paraId="2CCBECE8">
      <w:pPr>
        <w:pStyle w:val="6"/>
        <w:pageBreakBefore w:val="0"/>
        <w:wordWrap/>
        <w:overflowPunct/>
        <w:topLinePunct w:val="0"/>
        <w:bidi w:val="0"/>
        <w:snapToGrid w:val="0"/>
        <w:spacing w:line="240" w:lineRule="auto"/>
        <w:rPr>
          <w:rFonts w:hint="eastAsia" w:ascii="方正仿宋_GB18030" w:hAnsi="方正仿宋_GB18030" w:eastAsia="方正仿宋_GB18030" w:cs="方正仿宋_GB18030"/>
          <w:color w:val="auto"/>
          <w:lang w:val="en-US" w:eastAsia="zh-CN"/>
        </w:rPr>
      </w:pPr>
    </w:p>
    <w:p w14:paraId="693B3144">
      <w:pPr>
        <w:pStyle w:val="6"/>
        <w:pageBreakBefore w:val="0"/>
        <w:wordWrap/>
        <w:overflowPunct/>
        <w:topLinePunct w:val="0"/>
        <w:bidi w:val="0"/>
        <w:snapToGrid w:val="0"/>
        <w:spacing w:line="240" w:lineRule="auto"/>
        <w:rPr>
          <w:rFonts w:hint="eastAsia" w:ascii="方正仿宋_GB18030" w:hAnsi="方正仿宋_GB18030" w:eastAsia="方正仿宋_GB18030" w:cs="方正仿宋_GB18030"/>
          <w:color w:val="auto"/>
          <w:lang w:val="en-US" w:eastAsia="zh-CN"/>
        </w:rPr>
      </w:pPr>
    </w:p>
    <w:p w14:paraId="4DD8143F">
      <w:pPr>
        <w:pStyle w:val="6"/>
        <w:pageBreakBefore w:val="0"/>
        <w:wordWrap/>
        <w:overflowPunct/>
        <w:topLinePunct w:val="0"/>
        <w:bidi w:val="0"/>
        <w:snapToGrid w:val="0"/>
        <w:spacing w:line="240" w:lineRule="auto"/>
        <w:rPr>
          <w:rFonts w:hint="eastAsia" w:ascii="方正仿宋_GB18030" w:hAnsi="方正仿宋_GB18030" w:eastAsia="方正仿宋_GB18030" w:cs="方正仿宋_GB18030"/>
          <w:snapToGrid/>
          <w:color w:val="auto"/>
          <w:kern w:val="0"/>
          <w:sz w:val="21"/>
          <w:szCs w:val="21"/>
          <w:highlight w:val="none"/>
          <w:lang w:val="en-US" w:eastAsia="zh-CN" w:bidi="ar-SA"/>
        </w:rPr>
      </w:pPr>
    </w:p>
    <w:p w14:paraId="5C27A09E">
      <w:pPr>
        <w:pStyle w:val="6"/>
        <w:pageBreakBefore w:val="0"/>
        <w:wordWrap/>
        <w:overflowPunct/>
        <w:topLinePunct w:val="0"/>
        <w:bidi w:val="0"/>
        <w:snapToGrid w:val="0"/>
        <w:spacing w:line="240" w:lineRule="auto"/>
        <w:rPr>
          <w:rFonts w:hint="eastAsia" w:ascii="方正仿宋_GB18030" w:hAnsi="方正仿宋_GB18030" w:eastAsia="方正仿宋_GB18030" w:cs="方正仿宋_GB18030"/>
          <w:snapToGrid/>
          <w:color w:val="auto"/>
          <w:kern w:val="0"/>
          <w:sz w:val="21"/>
          <w:szCs w:val="21"/>
          <w:highlight w:val="none"/>
          <w:lang w:val="en-US" w:eastAsia="zh-CN" w:bidi="ar-SA"/>
        </w:rPr>
      </w:pPr>
    </w:p>
    <w:p w14:paraId="612B2C1C">
      <w:pPr>
        <w:rPr>
          <w:rFonts w:hint="eastAsia"/>
          <w:lang w:val="en-US" w:eastAsia="zh-CN"/>
        </w:rPr>
      </w:pPr>
    </w:p>
    <w:p w14:paraId="0263890C">
      <w:pPr>
        <w:pStyle w:val="6"/>
        <w:pageBreakBefore w:val="0"/>
        <w:wordWrap/>
        <w:overflowPunct/>
        <w:topLinePunct w:val="0"/>
        <w:bidi w:val="0"/>
        <w:snapToGrid w:val="0"/>
        <w:spacing w:line="240" w:lineRule="auto"/>
        <w:rPr>
          <w:rFonts w:hint="eastAsia" w:ascii="方正仿宋_GB18030" w:hAnsi="方正仿宋_GB18030" w:eastAsia="方正仿宋_GB18030" w:cs="方正仿宋_GB18030"/>
          <w:snapToGrid/>
          <w:color w:val="auto"/>
          <w:kern w:val="0"/>
          <w:sz w:val="21"/>
          <w:szCs w:val="21"/>
          <w:highlight w:val="none"/>
          <w:lang w:val="en-US" w:eastAsia="zh-CN" w:bidi="ar-SA"/>
        </w:rPr>
      </w:pPr>
    </w:p>
    <w:p w14:paraId="3CC1BB6C">
      <w:pPr>
        <w:pStyle w:val="3"/>
        <w:pageBreakBefore w:val="0"/>
        <w:wordWrap/>
        <w:overflowPunct/>
        <w:topLinePunct w:val="0"/>
        <w:bidi w:val="0"/>
        <w:snapToGrid w:val="0"/>
        <w:spacing w:before="0" w:after="0" w:line="240" w:lineRule="auto"/>
        <w:rPr>
          <w:rFonts w:hint="eastAsia" w:ascii="方正仿宋_GB18030" w:hAnsi="方正仿宋_GB18030" w:eastAsia="方正仿宋_GB18030" w:cs="方正仿宋_GB18030"/>
          <w:b w:val="0"/>
          <w:snapToGrid w:val="0"/>
          <w:color w:val="auto"/>
          <w:highlight w:val="none"/>
        </w:rPr>
      </w:pPr>
      <w:bookmarkStart w:id="215" w:name="_Toc4034"/>
      <w:r>
        <w:rPr>
          <w:rFonts w:hint="eastAsia" w:ascii="方正仿宋_GB18030" w:hAnsi="方正仿宋_GB18030" w:eastAsia="方正仿宋_GB18030" w:cs="方正仿宋_GB18030"/>
          <w:color w:val="auto"/>
          <w:sz w:val="28"/>
          <w:szCs w:val="28"/>
          <w:highlight w:val="none"/>
        </w:rPr>
        <w:t xml:space="preserve">1. </w:t>
      </w:r>
      <w:r>
        <w:rPr>
          <w:rFonts w:hint="eastAsia" w:ascii="方正仿宋_GB18030" w:hAnsi="方正仿宋_GB18030" w:eastAsia="方正仿宋_GB18030" w:cs="方正仿宋_GB18030"/>
          <w:color w:val="auto"/>
          <w:sz w:val="28"/>
          <w:szCs w:val="28"/>
          <w:highlight w:val="none"/>
          <w:lang w:eastAsia="zh-CN"/>
        </w:rPr>
        <w:t>评审</w:t>
      </w:r>
      <w:r>
        <w:rPr>
          <w:rFonts w:hint="eastAsia" w:ascii="方正仿宋_GB18030" w:hAnsi="方正仿宋_GB18030" w:eastAsia="方正仿宋_GB18030" w:cs="方正仿宋_GB18030"/>
          <w:color w:val="auto"/>
          <w:sz w:val="28"/>
          <w:szCs w:val="28"/>
          <w:highlight w:val="none"/>
        </w:rPr>
        <w:t>方法</w:t>
      </w:r>
      <w:bookmarkEnd w:id="215"/>
    </w:p>
    <w:p w14:paraId="329191C6">
      <w:pPr>
        <w:pageBreakBefore w:val="0"/>
        <w:wordWrap/>
        <w:overflowPunct/>
        <w:topLinePunct w:val="0"/>
        <w:autoSpaceDE w:val="0"/>
        <w:autoSpaceDN w:val="0"/>
        <w:bidi w:val="0"/>
        <w:adjustRightInd w:val="0"/>
        <w:snapToGrid w:val="0"/>
        <w:spacing w:line="240" w:lineRule="auto"/>
        <w:ind w:firstLine="420" w:firstLineChars="200"/>
        <w:rPr>
          <w:rFonts w:hint="eastAsia" w:ascii="方正仿宋_GB18030" w:hAnsi="方正仿宋_GB18030" w:eastAsia="方正仿宋_GB18030" w:cs="方正仿宋_GB18030"/>
          <w:color w:val="auto"/>
          <w:kern w:val="0"/>
          <w:szCs w:val="21"/>
          <w:highlight w:val="none"/>
        </w:rPr>
      </w:pPr>
      <w:r>
        <w:rPr>
          <w:rFonts w:hint="eastAsia" w:ascii="方正仿宋_GB18030" w:hAnsi="方正仿宋_GB18030" w:eastAsia="方正仿宋_GB18030" w:cs="方正仿宋_GB18030"/>
          <w:color w:val="auto"/>
          <w:kern w:val="0"/>
          <w:szCs w:val="21"/>
          <w:highlight w:val="none"/>
        </w:rPr>
        <w:t>本次</w:t>
      </w:r>
      <w:r>
        <w:rPr>
          <w:rFonts w:hint="eastAsia" w:ascii="方正仿宋_GB18030" w:hAnsi="方正仿宋_GB18030" w:eastAsia="方正仿宋_GB18030" w:cs="方正仿宋_GB18030"/>
          <w:color w:val="auto"/>
          <w:kern w:val="0"/>
          <w:szCs w:val="21"/>
          <w:highlight w:val="none"/>
          <w:lang w:eastAsia="zh-CN"/>
        </w:rPr>
        <w:t>评审</w:t>
      </w:r>
      <w:r>
        <w:rPr>
          <w:rFonts w:hint="eastAsia" w:ascii="方正仿宋_GB18030" w:hAnsi="方正仿宋_GB18030" w:eastAsia="方正仿宋_GB18030" w:cs="方正仿宋_GB18030"/>
          <w:color w:val="auto"/>
          <w:kern w:val="0"/>
          <w:szCs w:val="21"/>
          <w:highlight w:val="none"/>
        </w:rPr>
        <w:t>采用</w:t>
      </w:r>
      <w:r>
        <w:rPr>
          <w:rFonts w:hint="eastAsia" w:ascii="方正仿宋_GB18030" w:hAnsi="方正仿宋_GB18030" w:eastAsia="方正仿宋_GB18030" w:cs="方正仿宋_GB18030"/>
          <w:color w:val="auto"/>
          <w:kern w:val="0"/>
          <w:szCs w:val="21"/>
          <w:highlight w:val="none"/>
          <w:lang w:eastAsia="zh-CN"/>
        </w:rPr>
        <w:t>经评审的最低价法</w:t>
      </w:r>
      <w:r>
        <w:rPr>
          <w:rFonts w:hint="eastAsia" w:ascii="方正仿宋_GB18030" w:hAnsi="方正仿宋_GB18030" w:eastAsia="方正仿宋_GB18030" w:cs="方正仿宋_GB18030"/>
          <w:color w:val="auto"/>
          <w:kern w:val="0"/>
          <w:szCs w:val="21"/>
          <w:highlight w:val="none"/>
        </w:rPr>
        <w:t>。</w:t>
      </w:r>
      <w:r>
        <w:rPr>
          <w:rFonts w:hint="eastAsia" w:ascii="方正仿宋_GB18030" w:hAnsi="方正仿宋_GB18030" w:eastAsia="方正仿宋_GB18030" w:cs="方正仿宋_GB18030"/>
          <w:color w:val="auto"/>
          <w:kern w:val="0"/>
          <w:szCs w:val="21"/>
          <w:highlight w:val="none"/>
          <w:lang w:eastAsia="zh-CN"/>
        </w:rPr>
        <w:t>评审小组</w:t>
      </w:r>
      <w:r>
        <w:rPr>
          <w:rFonts w:hint="eastAsia" w:ascii="方正仿宋_GB18030" w:hAnsi="方正仿宋_GB18030" w:eastAsia="方正仿宋_GB18030" w:cs="方正仿宋_GB18030"/>
          <w:color w:val="auto"/>
          <w:kern w:val="0"/>
          <w:szCs w:val="21"/>
          <w:highlight w:val="none"/>
        </w:rPr>
        <w:t>对满足</w:t>
      </w:r>
      <w:r>
        <w:rPr>
          <w:rFonts w:hint="eastAsia" w:ascii="方正仿宋_GB18030" w:hAnsi="方正仿宋_GB18030" w:eastAsia="方正仿宋_GB18030" w:cs="方正仿宋_GB18030"/>
          <w:color w:val="auto"/>
          <w:kern w:val="0"/>
          <w:szCs w:val="21"/>
          <w:highlight w:val="none"/>
          <w:lang w:eastAsia="zh-CN"/>
        </w:rPr>
        <w:t>比选文件</w:t>
      </w:r>
      <w:r>
        <w:rPr>
          <w:rFonts w:hint="eastAsia" w:ascii="方正仿宋_GB18030" w:hAnsi="方正仿宋_GB18030" w:eastAsia="方正仿宋_GB18030" w:cs="方正仿宋_GB18030"/>
          <w:color w:val="auto"/>
          <w:kern w:val="0"/>
          <w:szCs w:val="21"/>
          <w:highlight w:val="none"/>
        </w:rPr>
        <w:t>实质性要求的</w:t>
      </w:r>
      <w:r>
        <w:rPr>
          <w:rFonts w:hint="eastAsia" w:ascii="方正仿宋_GB18030" w:hAnsi="方正仿宋_GB18030" w:eastAsia="方正仿宋_GB18030" w:cs="方正仿宋_GB18030"/>
          <w:color w:val="auto"/>
          <w:kern w:val="0"/>
          <w:szCs w:val="21"/>
          <w:highlight w:val="none"/>
          <w:lang w:eastAsia="zh-CN"/>
        </w:rPr>
        <w:t>竞选文件，</w:t>
      </w:r>
      <w:r>
        <w:rPr>
          <w:rFonts w:hint="eastAsia" w:ascii="方正仿宋_GB18030" w:hAnsi="方正仿宋_GB18030" w:eastAsia="方正仿宋_GB18030" w:cs="方正仿宋_GB18030"/>
          <w:color w:val="auto"/>
          <w:kern w:val="0"/>
          <w:szCs w:val="21"/>
          <w:highlight w:val="none"/>
        </w:rPr>
        <w:t>根据本章第</w:t>
      </w:r>
      <w:r>
        <w:rPr>
          <w:rFonts w:hint="eastAsia" w:ascii="方正仿宋_GB18030" w:hAnsi="方正仿宋_GB18030" w:eastAsia="方正仿宋_GB18030" w:cs="方正仿宋_GB18030"/>
          <w:color w:val="auto"/>
          <w:kern w:val="0"/>
          <w:szCs w:val="21"/>
          <w:highlight w:val="none"/>
          <w:lang w:val="en-US" w:eastAsia="zh-CN"/>
        </w:rPr>
        <w:t>2.2</w:t>
      </w:r>
      <w:r>
        <w:rPr>
          <w:rFonts w:hint="eastAsia" w:ascii="方正仿宋_GB18030" w:hAnsi="方正仿宋_GB18030" w:eastAsia="方正仿宋_GB18030" w:cs="方正仿宋_GB18030"/>
          <w:color w:val="auto"/>
          <w:kern w:val="0"/>
          <w:szCs w:val="21"/>
          <w:highlight w:val="none"/>
        </w:rPr>
        <w:t>款规定的</w:t>
      </w:r>
      <w:r>
        <w:rPr>
          <w:rFonts w:hint="eastAsia" w:ascii="方正仿宋_GB18030" w:hAnsi="方正仿宋_GB18030" w:eastAsia="方正仿宋_GB18030" w:cs="方正仿宋_GB18030"/>
          <w:color w:val="auto"/>
          <w:kern w:val="0"/>
          <w:szCs w:val="21"/>
          <w:highlight w:val="none"/>
          <w:lang w:eastAsia="zh-CN"/>
        </w:rPr>
        <w:t>经评审的报价</w:t>
      </w:r>
      <w:r>
        <w:rPr>
          <w:rFonts w:hint="eastAsia" w:ascii="方正仿宋_GB18030" w:hAnsi="方正仿宋_GB18030" w:eastAsia="方正仿宋_GB18030" w:cs="方正仿宋_GB18030"/>
          <w:color w:val="auto"/>
          <w:kern w:val="0"/>
          <w:szCs w:val="21"/>
          <w:highlight w:val="none"/>
        </w:rPr>
        <w:t>格调整方法进行必要的价格调整</w:t>
      </w:r>
      <w:r>
        <w:rPr>
          <w:rFonts w:hint="eastAsia" w:ascii="方正仿宋_GB18030" w:hAnsi="方正仿宋_GB18030" w:eastAsia="方正仿宋_GB18030" w:cs="方正仿宋_GB18030"/>
          <w:color w:val="auto"/>
          <w:kern w:val="0"/>
          <w:szCs w:val="21"/>
          <w:highlight w:val="none"/>
          <w:lang w:eastAsia="zh-CN"/>
        </w:rPr>
        <w:t>，</w:t>
      </w:r>
      <w:r>
        <w:rPr>
          <w:rFonts w:hint="eastAsia" w:ascii="方正仿宋_GB18030" w:hAnsi="方正仿宋_GB18030" w:eastAsia="方正仿宋_GB18030" w:cs="方正仿宋_GB18030"/>
          <w:color w:val="auto"/>
          <w:kern w:val="0"/>
          <w:szCs w:val="21"/>
          <w:highlight w:val="none"/>
        </w:rPr>
        <w:t>并按照经评审的</w:t>
      </w:r>
      <w:r>
        <w:rPr>
          <w:rFonts w:hint="eastAsia" w:ascii="方正仿宋_GB18030" w:hAnsi="方正仿宋_GB18030" w:eastAsia="方正仿宋_GB18030" w:cs="方正仿宋_GB18030"/>
          <w:color w:val="auto"/>
          <w:kern w:val="0"/>
          <w:szCs w:val="21"/>
          <w:highlight w:val="none"/>
          <w:lang w:eastAsia="zh-CN"/>
        </w:rPr>
        <w:t>竞选报价</w:t>
      </w:r>
      <w:r>
        <w:rPr>
          <w:rFonts w:hint="eastAsia" w:ascii="方正仿宋_GB18030" w:hAnsi="方正仿宋_GB18030" w:eastAsia="方正仿宋_GB18030" w:cs="方正仿宋_GB18030"/>
          <w:color w:val="auto"/>
          <w:kern w:val="0"/>
          <w:szCs w:val="21"/>
          <w:highlight w:val="none"/>
        </w:rPr>
        <w:t>由低到高的顺序推荐</w:t>
      </w:r>
      <w:r>
        <w:rPr>
          <w:rFonts w:hint="eastAsia" w:ascii="方正仿宋_GB18030" w:hAnsi="方正仿宋_GB18030" w:eastAsia="方正仿宋_GB18030" w:cs="方正仿宋_GB18030"/>
          <w:color w:val="auto"/>
          <w:kern w:val="0"/>
          <w:szCs w:val="21"/>
          <w:highlight w:val="none"/>
          <w:lang w:eastAsia="zh-CN"/>
        </w:rPr>
        <w:t>成交竞选人候选人</w:t>
      </w:r>
      <w:r>
        <w:rPr>
          <w:rFonts w:hint="eastAsia" w:ascii="方正仿宋_GB18030" w:hAnsi="方正仿宋_GB18030" w:eastAsia="方正仿宋_GB18030" w:cs="方正仿宋_GB18030"/>
          <w:color w:val="auto"/>
          <w:kern w:val="0"/>
          <w:szCs w:val="21"/>
          <w:highlight w:val="none"/>
        </w:rPr>
        <w:t>，或根据</w:t>
      </w:r>
      <w:r>
        <w:rPr>
          <w:rFonts w:hint="eastAsia" w:ascii="方正仿宋_GB18030" w:hAnsi="方正仿宋_GB18030" w:eastAsia="方正仿宋_GB18030" w:cs="方正仿宋_GB18030"/>
          <w:color w:val="auto"/>
          <w:kern w:val="0"/>
          <w:szCs w:val="21"/>
          <w:highlight w:val="none"/>
          <w:lang w:eastAsia="zh-CN"/>
        </w:rPr>
        <w:t>比选人</w:t>
      </w:r>
      <w:r>
        <w:rPr>
          <w:rFonts w:hint="eastAsia" w:ascii="方正仿宋_GB18030" w:hAnsi="方正仿宋_GB18030" w:eastAsia="方正仿宋_GB18030" w:cs="方正仿宋_GB18030"/>
          <w:color w:val="auto"/>
          <w:kern w:val="0"/>
          <w:szCs w:val="21"/>
          <w:highlight w:val="none"/>
        </w:rPr>
        <w:t>授权直接确定</w:t>
      </w:r>
      <w:r>
        <w:rPr>
          <w:rFonts w:hint="eastAsia" w:ascii="方正仿宋_GB18030" w:hAnsi="方正仿宋_GB18030" w:eastAsia="方正仿宋_GB18030" w:cs="方正仿宋_GB18030"/>
          <w:color w:val="auto"/>
          <w:kern w:val="0"/>
          <w:szCs w:val="21"/>
          <w:highlight w:val="none"/>
          <w:lang w:eastAsia="zh-CN"/>
        </w:rPr>
        <w:t>成交竞选人</w:t>
      </w:r>
      <w:r>
        <w:rPr>
          <w:rFonts w:hint="eastAsia" w:ascii="方正仿宋_GB18030" w:hAnsi="方正仿宋_GB18030" w:eastAsia="方正仿宋_GB18030" w:cs="方正仿宋_GB18030"/>
          <w:color w:val="auto"/>
          <w:kern w:val="0"/>
          <w:szCs w:val="21"/>
          <w:highlight w:val="none"/>
        </w:rPr>
        <w:t>，但</w:t>
      </w:r>
      <w:r>
        <w:rPr>
          <w:rFonts w:hint="eastAsia" w:ascii="方正仿宋_GB18030" w:hAnsi="方正仿宋_GB18030" w:eastAsia="方正仿宋_GB18030" w:cs="方正仿宋_GB18030"/>
          <w:color w:val="auto"/>
          <w:kern w:val="0"/>
          <w:szCs w:val="21"/>
          <w:highlight w:val="none"/>
          <w:lang w:eastAsia="zh-CN"/>
        </w:rPr>
        <w:t>竞选报价</w:t>
      </w:r>
      <w:r>
        <w:rPr>
          <w:rFonts w:hint="eastAsia" w:ascii="方正仿宋_GB18030" w:hAnsi="方正仿宋_GB18030" w:eastAsia="方正仿宋_GB18030" w:cs="方正仿宋_GB18030"/>
          <w:color w:val="auto"/>
          <w:kern w:val="0"/>
          <w:szCs w:val="21"/>
          <w:highlight w:val="none"/>
        </w:rPr>
        <w:t>低于其成本的除外。经评审的</w:t>
      </w:r>
      <w:r>
        <w:rPr>
          <w:rFonts w:hint="eastAsia" w:ascii="方正仿宋_GB18030" w:hAnsi="方正仿宋_GB18030" w:eastAsia="方正仿宋_GB18030" w:cs="方正仿宋_GB18030"/>
          <w:color w:val="auto"/>
          <w:kern w:val="0"/>
          <w:szCs w:val="21"/>
          <w:highlight w:val="none"/>
          <w:lang w:eastAsia="zh-CN"/>
        </w:rPr>
        <w:t>竞选价</w:t>
      </w:r>
      <w:r>
        <w:rPr>
          <w:rFonts w:hint="eastAsia" w:ascii="方正仿宋_GB18030" w:hAnsi="方正仿宋_GB18030" w:eastAsia="方正仿宋_GB18030" w:cs="方正仿宋_GB18030"/>
          <w:color w:val="auto"/>
          <w:kern w:val="0"/>
          <w:szCs w:val="21"/>
          <w:highlight w:val="none"/>
        </w:rPr>
        <w:t>相等时，</w:t>
      </w:r>
      <w:r>
        <w:rPr>
          <w:rFonts w:hint="eastAsia" w:ascii="方正仿宋_GB18030" w:hAnsi="方正仿宋_GB18030" w:eastAsia="方正仿宋_GB18030" w:cs="方正仿宋_GB18030"/>
          <w:color w:val="auto"/>
          <w:kern w:val="0"/>
          <w:szCs w:val="21"/>
          <w:highlight w:val="none"/>
          <w:lang w:eastAsia="zh-CN"/>
        </w:rPr>
        <w:t>竞选</w:t>
      </w:r>
      <w:r>
        <w:rPr>
          <w:rFonts w:hint="eastAsia" w:ascii="方正仿宋_GB18030" w:hAnsi="方正仿宋_GB18030" w:eastAsia="方正仿宋_GB18030" w:cs="方正仿宋_GB18030"/>
          <w:color w:val="auto"/>
          <w:kern w:val="0"/>
          <w:szCs w:val="21"/>
          <w:highlight w:val="none"/>
        </w:rPr>
        <w:t>报价低的优先</w:t>
      </w:r>
      <w:r>
        <w:rPr>
          <w:rFonts w:hint="eastAsia" w:ascii="方正仿宋_GB18030" w:hAnsi="方正仿宋_GB18030" w:eastAsia="方正仿宋_GB18030" w:cs="方正仿宋_GB18030"/>
          <w:color w:val="auto"/>
          <w:kern w:val="0"/>
          <w:szCs w:val="21"/>
          <w:highlight w:val="none"/>
          <w:lang w:eastAsia="zh-CN"/>
        </w:rPr>
        <w:t>；竞选</w:t>
      </w:r>
      <w:r>
        <w:rPr>
          <w:rFonts w:hint="eastAsia" w:ascii="方正仿宋_GB18030" w:hAnsi="方正仿宋_GB18030" w:eastAsia="方正仿宋_GB18030" w:cs="方正仿宋_GB18030"/>
          <w:color w:val="auto"/>
          <w:kern w:val="0"/>
          <w:szCs w:val="21"/>
          <w:highlight w:val="none"/>
        </w:rPr>
        <w:t>报价也相等的</w:t>
      </w:r>
      <w:r>
        <w:rPr>
          <w:rFonts w:hint="eastAsia" w:ascii="方正仿宋_GB18030" w:hAnsi="方正仿宋_GB18030" w:eastAsia="方正仿宋_GB18030" w:cs="方正仿宋_GB18030"/>
          <w:color w:val="auto"/>
          <w:kern w:val="0"/>
          <w:szCs w:val="21"/>
          <w:highlight w:val="none"/>
          <w:lang w:eastAsia="zh-CN"/>
        </w:rPr>
        <w:t>，</w:t>
      </w:r>
      <w:r>
        <w:rPr>
          <w:rFonts w:hint="eastAsia" w:ascii="方正仿宋_GB18030" w:hAnsi="方正仿宋_GB18030" w:eastAsia="方正仿宋_GB18030" w:cs="方正仿宋_GB18030"/>
          <w:color w:val="auto"/>
          <w:kern w:val="0"/>
          <w:szCs w:val="21"/>
          <w:highlight w:val="none"/>
        </w:rPr>
        <w:t>按照</w:t>
      </w:r>
      <w:r>
        <w:rPr>
          <w:rFonts w:hint="eastAsia" w:ascii="方正仿宋_GB18030" w:hAnsi="方正仿宋_GB18030" w:eastAsia="方正仿宋_GB18030" w:cs="方正仿宋_GB18030"/>
          <w:color w:val="auto"/>
          <w:kern w:val="0"/>
          <w:szCs w:val="21"/>
          <w:highlight w:val="none"/>
          <w:lang w:eastAsia="zh-CN"/>
        </w:rPr>
        <w:t>评审</w:t>
      </w:r>
      <w:r>
        <w:rPr>
          <w:rFonts w:hint="eastAsia" w:ascii="方正仿宋_GB18030" w:hAnsi="方正仿宋_GB18030" w:eastAsia="方正仿宋_GB18030" w:cs="方正仿宋_GB18030"/>
          <w:color w:val="auto"/>
          <w:kern w:val="0"/>
          <w:szCs w:val="21"/>
          <w:highlight w:val="none"/>
        </w:rPr>
        <w:t>办法前附表中的规定确定</w:t>
      </w:r>
      <w:r>
        <w:rPr>
          <w:rFonts w:hint="eastAsia" w:ascii="方正仿宋_GB18030" w:hAnsi="方正仿宋_GB18030" w:eastAsia="方正仿宋_GB18030" w:cs="方正仿宋_GB18030"/>
          <w:color w:val="auto"/>
          <w:kern w:val="0"/>
          <w:szCs w:val="21"/>
          <w:highlight w:val="none"/>
          <w:lang w:eastAsia="zh-CN"/>
        </w:rPr>
        <w:t>成交竞选人候选人</w:t>
      </w:r>
      <w:r>
        <w:rPr>
          <w:rFonts w:hint="eastAsia" w:ascii="方正仿宋_GB18030" w:hAnsi="方正仿宋_GB18030" w:eastAsia="方正仿宋_GB18030" w:cs="方正仿宋_GB18030"/>
          <w:color w:val="auto"/>
          <w:kern w:val="0"/>
          <w:szCs w:val="21"/>
          <w:highlight w:val="none"/>
        </w:rPr>
        <w:t>顺序。</w:t>
      </w:r>
    </w:p>
    <w:p w14:paraId="6114E916">
      <w:pPr>
        <w:pStyle w:val="3"/>
        <w:pageBreakBefore w:val="0"/>
        <w:wordWrap/>
        <w:overflowPunct/>
        <w:topLinePunct w:val="0"/>
        <w:bidi w:val="0"/>
        <w:snapToGrid w:val="0"/>
        <w:spacing w:before="0" w:after="0" w:line="240" w:lineRule="auto"/>
        <w:rPr>
          <w:rFonts w:hint="eastAsia" w:ascii="方正仿宋_GB18030" w:hAnsi="方正仿宋_GB18030" w:eastAsia="方正仿宋_GB18030" w:cs="方正仿宋_GB18030"/>
          <w:color w:val="auto"/>
          <w:sz w:val="28"/>
          <w:szCs w:val="28"/>
          <w:highlight w:val="none"/>
        </w:rPr>
      </w:pPr>
      <w:bookmarkStart w:id="216" w:name="_Toc17473"/>
      <w:r>
        <w:rPr>
          <w:rFonts w:hint="eastAsia" w:ascii="方正仿宋_GB18030" w:hAnsi="方正仿宋_GB18030" w:eastAsia="方正仿宋_GB18030" w:cs="方正仿宋_GB18030"/>
          <w:color w:val="auto"/>
          <w:sz w:val="28"/>
          <w:szCs w:val="28"/>
          <w:highlight w:val="none"/>
        </w:rPr>
        <w:t>2. 评审标准</w:t>
      </w:r>
      <w:bookmarkEnd w:id="216"/>
    </w:p>
    <w:p w14:paraId="2EB86AD7">
      <w:pPr>
        <w:pStyle w:val="4"/>
        <w:keepNext/>
        <w:keepLines/>
        <w:pageBreakBefore w:val="0"/>
        <w:widowControl/>
        <w:kinsoku w:val="0"/>
        <w:wordWrap/>
        <w:overflowPunct/>
        <w:topLinePunct w:val="0"/>
        <w:autoSpaceDE w:val="0"/>
        <w:autoSpaceDN w:val="0"/>
        <w:bidi w:val="0"/>
        <w:adjustRightInd w:val="0"/>
        <w:snapToGrid w:val="0"/>
        <w:spacing w:before="0" w:after="0" w:line="240" w:lineRule="auto"/>
        <w:ind w:firstLine="0" w:firstLineChars="0"/>
        <w:textAlignment w:val="baseline"/>
        <w:rPr>
          <w:rFonts w:hint="eastAsia" w:ascii="方正仿宋_GB18030" w:hAnsi="方正仿宋_GB18030" w:eastAsia="方正仿宋_GB18030" w:cs="方正仿宋_GB18030"/>
          <w:color w:val="auto"/>
          <w:sz w:val="21"/>
          <w:szCs w:val="21"/>
          <w:highlight w:val="none"/>
        </w:rPr>
      </w:pPr>
      <w:bookmarkStart w:id="217" w:name="_Toc14652"/>
      <w:r>
        <w:rPr>
          <w:rFonts w:hint="eastAsia" w:ascii="方正仿宋_GB18030" w:hAnsi="方正仿宋_GB18030" w:eastAsia="方正仿宋_GB18030" w:cs="方正仿宋_GB18030"/>
          <w:color w:val="auto"/>
          <w:sz w:val="21"/>
          <w:szCs w:val="21"/>
          <w:highlight w:val="none"/>
        </w:rPr>
        <w:t>2.1 初步评审标准</w:t>
      </w:r>
      <w:bookmarkEnd w:id="217"/>
    </w:p>
    <w:p w14:paraId="33C30AEC">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2.1.1  形式评审标准：见评审办法前附表。</w:t>
      </w:r>
    </w:p>
    <w:p w14:paraId="08685448">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2.1.2  资格评审标准：见评审办法前附表。</w:t>
      </w:r>
    </w:p>
    <w:p w14:paraId="6669722C">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2.1.3  响应性评审标准：见评审办法前附表。</w:t>
      </w:r>
    </w:p>
    <w:p w14:paraId="106B1D8E">
      <w:pPr>
        <w:pStyle w:val="4"/>
        <w:keepNext/>
        <w:keepLines/>
        <w:pageBreakBefore w:val="0"/>
        <w:widowControl/>
        <w:kinsoku w:val="0"/>
        <w:wordWrap/>
        <w:overflowPunct/>
        <w:topLinePunct w:val="0"/>
        <w:autoSpaceDE w:val="0"/>
        <w:autoSpaceDN w:val="0"/>
        <w:bidi w:val="0"/>
        <w:adjustRightInd w:val="0"/>
        <w:snapToGrid w:val="0"/>
        <w:spacing w:before="0" w:after="0" w:line="240" w:lineRule="auto"/>
        <w:ind w:firstLine="0" w:firstLineChars="0"/>
        <w:textAlignment w:val="baseline"/>
        <w:rPr>
          <w:rFonts w:hint="eastAsia" w:ascii="方正仿宋_GB18030" w:hAnsi="方正仿宋_GB18030" w:eastAsia="方正仿宋_GB18030" w:cs="方正仿宋_GB18030"/>
          <w:color w:val="auto"/>
          <w:sz w:val="21"/>
          <w:szCs w:val="21"/>
          <w:highlight w:val="none"/>
        </w:rPr>
      </w:pPr>
      <w:bookmarkStart w:id="218" w:name="_Toc18133"/>
      <w:r>
        <w:rPr>
          <w:rFonts w:hint="eastAsia" w:ascii="方正仿宋_GB18030" w:hAnsi="方正仿宋_GB18030" w:eastAsia="方正仿宋_GB18030" w:cs="方正仿宋_GB18030"/>
          <w:color w:val="auto"/>
          <w:sz w:val="21"/>
          <w:szCs w:val="21"/>
          <w:highlight w:val="none"/>
        </w:rPr>
        <w:t>2.2 详细评审标准</w:t>
      </w:r>
      <w:bookmarkEnd w:id="218"/>
    </w:p>
    <w:p w14:paraId="380E8425">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详细评审标准：见评审办法前附表。</w:t>
      </w:r>
    </w:p>
    <w:p w14:paraId="0809E8D0">
      <w:pPr>
        <w:pStyle w:val="3"/>
        <w:pageBreakBefore w:val="0"/>
        <w:wordWrap/>
        <w:overflowPunct/>
        <w:topLinePunct w:val="0"/>
        <w:bidi w:val="0"/>
        <w:snapToGrid w:val="0"/>
        <w:spacing w:before="0" w:after="0" w:line="240" w:lineRule="auto"/>
        <w:rPr>
          <w:rFonts w:hint="eastAsia" w:ascii="方正仿宋_GB18030" w:hAnsi="方正仿宋_GB18030" w:eastAsia="方正仿宋_GB18030" w:cs="方正仿宋_GB18030"/>
          <w:color w:val="auto"/>
          <w:sz w:val="28"/>
          <w:szCs w:val="28"/>
          <w:highlight w:val="none"/>
        </w:rPr>
      </w:pPr>
      <w:bookmarkStart w:id="219" w:name="_Toc11427"/>
      <w:r>
        <w:rPr>
          <w:rFonts w:hint="eastAsia" w:ascii="方正仿宋_GB18030" w:hAnsi="方正仿宋_GB18030" w:eastAsia="方正仿宋_GB18030" w:cs="方正仿宋_GB18030"/>
          <w:color w:val="auto"/>
          <w:sz w:val="28"/>
          <w:szCs w:val="28"/>
          <w:highlight w:val="none"/>
        </w:rPr>
        <w:t xml:space="preserve">3. </w:t>
      </w:r>
      <w:r>
        <w:rPr>
          <w:rFonts w:hint="eastAsia" w:ascii="方正仿宋_GB18030" w:hAnsi="方正仿宋_GB18030" w:eastAsia="方正仿宋_GB18030" w:cs="方正仿宋_GB18030"/>
          <w:color w:val="auto"/>
          <w:sz w:val="28"/>
          <w:szCs w:val="28"/>
          <w:highlight w:val="none"/>
          <w:lang w:eastAsia="zh-CN"/>
        </w:rPr>
        <w:t>评审</w:t>
      </w:r>
      <w:r>
        <w:rPr>
          <w:rFonts w:hint="eastAsia" w:ascii="方正仿宋_GB18030" w:hAnsi="方正仿宋_GB18030" w:eastAsia="方正仿宋_GB18030" w:cs="方正仿宋_GB18030"/>
          <w:color w:val="auto"/>
          <w:sz w:val="28"/>
          <w:szCs w:val="28"/>
          <w:highlight w:val="none"/>
        </w:rPr>
        <w:t>程序</w:t>
      </w:r>
      <w:bookmarkEnd w:id="219"/>
    </w:p>
    <w:p w14:paraId="31C610A8">
      <w:pPr>
        <w:pStyle w:val="4"/>
        <w:keepNext/>
        <w:keepLines/>
        <w:pageBreakBefore w:val="0"/>
        <w:widowControl/>
        <w:kinsoku w:val="0"/>
        <w:wordWrap/>
        <w:overflowPunct/>
        <w:topLinePunct w:val="0"/>
        <w:autoSpaceDE w:val="0"/>
        <w:autoSpaceDN w:val="0"/>
        <w:bidi w:val="0"/>
        <w:adjustRightInd w:val="0"/>
        <w:snapToGrid w:val="0"/>
        <w:spacing w:before="0" w:after="0" w:line="240" w:lineRule="auto"/>
        <w:ind w:firstLine="0" w:firstLineChars="0"/>
        <w:textAlignment w:val="baseline"/>
        <w:rPr>
          <w:rFonts w:hint="eastAsia" w:ascii="方正仿宋_GB18030" w:hAnsi="方正仿宋_GB18030" w:eastAsia="方正仿宋_GB18030" w:cs="方正仿宋_GB18030"/>
          <w:color w:val="auto"/>
          <w:sz w:val="21"/>
          <w:szCs w:val="21"/>
          <w:highlight w:val="none"/>
        </w:rPr>
      </w:pPr>
      <w:bookmarkStart w:id="220" w:name="_Toc4826"/>
      <w:r>
        <w:rPr>
          <w:rFonts w:hint="eastAsia" w:ascii="方正仿宋_GB18030" w:hAnsi="方正仿宋_GB18030" w:eastAsia="方正仿宋_GB18030" w:cs="方正仿宋_GB18030"/>
          <w:color w:val="auto"/>
          <w:sz w:val="21"/>
          <w:szCs w:val="21"/>
          <w:highlight w:val="none"/>
        </w:rPr>
        <w:t>3.1 初步评审</w:t>
      </w:r>
      <w:bookmarkEnd w:id="220"/>
    </w:p>
    <w:p w14:paraId="08ABF90F">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3.1.1评审小组依据本章第 2.1 款规定的标准对竞选文件进行初步评审。有一项不符合评审标准的，评审小组应当否决其竞选。</w:t>
      </w:r>
    </w:p>
    <w:p w14:paraId="25DA3795">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3.1.2  竞选人有以下情形之一的，评审小组应当否决其竞选：</w:t>
      </w:r>
    </w:p>
    <w:p w14:paraId="465CDC1B">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（1）竞选文件没有对比选文件的实质性要求和条件作出响应，或者对比选文件的偏差超出比选文件规定的偏差范围或最高项数；</w:t>
      </w:r>
    </w:p>
    <w:p w14:paraId="0FA331CD">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（2）有串通竞选、弄虚作假、行贿等违法行为。</w:t>
      </w:r>
    </w:p>
    <w:p w14:paraId="1F414042">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3.1.3  竞选报价有算术错误及其他错误的，评审小组按以下原则要求竞选人对竞选报价进行修正，并要求竞选人书面澄清确认。竞选人拒不澄清确认的，评审小组应当否决其竞选：</w:t>
      </w:r>
    </w:p>
    <w:p w14:paraId="0721D1DC">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（1）竞选文件中的大写金额与小写金额不一致的，以大写金额为准；</w:t>
      </w:r>
    </w:p>
    <w:p w14:paraId="077A3F84">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（2）总价金额与单价金额不一致的，以单价金额为准，但单价金额小数点有明显错误的除外；</w:t>
      </w:r>
    </w:p>
    <w:p w14:paraId="046B1112">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（3）竞选报价为各分项报价金额之和，竞选报价与分项报价的合价不一致的，应以各分项合价累计数为准，修正竞选报价；</w:t>
      </w:r>
    </w:p>
    <w:p w14:paraId="72DE8092">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 xml:space="preserve">（4）如果分项报价中存在缺漏项，则视为缺漏项价格已包含在其他分项报价之中。 </w:t>
      </w:r>
    </w:p>
    <w:p w14:paraId="620BF16B">
      <w:pPr>
        <w:pStyle w:val="4"/>
        <w:keepNext/>
        <w:keepLines/>
        <w:pageBreakBefore w:val="0"/>
        <w:widowControl/>
        <w:kinsoku w:val="0"/>
        <w:wordWrap/>
        <w:overflowPunct/>
        <w:topLinePunct w:val="0"/>
        <w:autoSpaceDE w:val="0"/>
        <w:autoSpaceDN w:val="0"/>
        <w:bidi w:val="0"/>
        <w:adjustRightInd w:val="0"/>
        <w:snapToGrid w:val="0"/>
        <w:spacing w:before="0" w:after="0" w:line="240" w:lineRule="auto"/>
        <w:ind w:firstLine="0" w:firstLineChars="0"/>
        <w:textAlignment w:val="baseline"/>
        <w:rPr>
          <w:rFonts w:hint="eastAsia" w:ascii="方正仿宋_GB18030" w:hAnsi="方正仿宋_GB18030" w:eastAsia="方正仿宋_GB18030" w:cs="方正仿宋_GB18030"/>
          <w:color w:val="auto"/>
          <w:sz w:val="21"/>
          <w:szCs w:val="21"/>
          <w:highlight w:val="none"/>
          <w:lang w:val="en-US" w:eastAsia="zh-CN"/>
        </w:rPr>
      </w:pPr>
      <w:bookmarkStart w:id="221" w:name="_Toc3840"/>
      <w:r>
        <w:rPr>
          <w:rFonts w:hint="eastAsia" w:ascii="方正仿宋_GB18030" w:hAnsi="方正仿宋_GB18030" w:eastAsia="方正仿宋_GB18030" w:cs="方正仿宋_GB18030"/>
          <w:color w:val="auto"/>
          <w:sz w:val="21"/>
          <w:szCs w:val="21"/>
          <w:highlight w:val="none"/>
        </w:rPr>
        <w:t>3.2 详细评审</w:t>
      </w:r>
      <w:bookmarkEnd w:id="221"/>
    </w:p>
    <w:p w14:paraId="312C7B99">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3.2.1  评审小组按本章第 2.2 款规定的经评审的报价调整方法进行必要的价格调整，并编制“标价比较表”。</w:t>
      </w:r>
    </w:p>
    <w:p w14:paraId="2512AB06">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3.2.2  评审小组发现竞选人的报价明显低于其他竞选报价，使得其竞选报价可能低于其成本的，应当要求该竞选人作出书面说明并提供相应的证明材料。竞选人不能合理说明或者不能提供相应证明材料的，由评审小组认定该竞选人以低于成本报价竞选，并否决其竞选。</w:t>
      </w:r>
    </w:p>
    <w:p w14:paraId="77BDEFD6">
      <w:pPr>
        <w:pStyle w:val="4"/>
        <w:keepNext/>
        <w:keepLines/>
        <w:pageBreakBefore w:val="0"/>
        <w:widowControl/>
        <w:kinsoku w:val="0"/>
        <w:wordWrap/>
        <w:overflowPunct/>
        <w:topLinePunct w:val="0"/>
        <w:autoSpaceDE w:val="0"/>
        <w:autoSpaceDN w:val="0"/>
        <w:bidi w:val="0"/>
        <w:adjustRightInd w:val="0"/>
        <w:snapToGrid w:val="0"/>
        <w:spacing w:before="0" w:after="0" w:line="240" w:lineRule="auto"/>
        <w:ind w:firstLine="0" w:firstLineChars="0"/>
        <w:textAlignment w:val="baseline"/>
        <w:rPr>
          <w:rFonts w:hint="eastAsia" w:ascii="方正仿宋_GB18030" w:hAnsi="方正仿宋_GB18030" w:eastAsia="方正仿宋_GB18030" w:cs="方正仿宋_GB18030"/>
          <w:color w:val="auto"/>
          <w:sz w:val="21"/>
          <w:szCs w:val="21"/>
          <w:highlight w:val="none"/>
          <w:lang w:val="en-US" w:eastAsia="zh-CN"/>
        </w:rPr>
      </w:pPr>
      <w:bookmarkStart w:id="222" w:name="_Toc27932"/>
      <w:r>
        <w:rPr>
          <w:rFonts w:hint="eastAsia" w:ascii="方正仿宋_GB18030" w:hAnsi="方正仿宋_GB18030" w:eastAsia="方正仿宋_GB18030" w:cs="方正仿宋_GB18030"/>
          <w:color w:val="auto"/>
          <w:sz w:val="21"/>
          <w:szCs w:val="21"/>
          <w:highlight w:val="none"/>
        </w:rPr>
        <w:t xml:space="preserve">3.3 </w:t>
      </w:r>
      <w:r>
        <w:rPr>
          <w:rFonts w:hint="eastAsia" w:ascii="方正仿宋_GB18030" w:hAnsi="方正仿宋_GB18030" w:eastAsia="方正仿宋_GB18030" w:cs="方正仿宋_GB18030"/>
          <w:color w:val="auto"/>
          <w:sz w:val="21"/>
          <w:szCs w:val="21"/>
          <w:highlight w:val="none"/>
          <w:lang w:eastAsia="zh-CN"/>
        </w:rPr>
        <w:t>竞选文件</w:t>
      </w:r>
      <w:r>
        <w:rPr>
          <w:rFonts w:hint="eastAsia" w:ascii="方正仿宋_GB18030" w:hAnsi="方正仿宋_GB18030" w:eastAsia="方正仿宋_GB18030" w:cs="方正仿宋_GB18030"/>
          <w:color w:val="auto"/>
          <w:sz w:val="21"/>
          <w:szCs w:val="21"/>
          <w:highlight w:val="none"/>
        </w:rPr>
        <w:t>的澄清</w:t>
      </w:r>
      <w:bookmarkEnd w:id="222"/>
    </w:p>
    <w:p w14:paraId="5C868F5E">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3.3.1  在评审过程中，评审小组可以书面形式要求竞选人对竞选文件中含义不明确、对同类问题表述不一致或者有明显文字和计算错误的内容作必要的澄清、说明或补正。澄清、说明或补正应以书面方式进行。评审小组不接受竞选人主动提出的澄清、说明或补正。</w:t>
      </w:r>
    </w:p>
    <w:p w14:paraId="0166CD69">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3.3.2  澄清、说明或补正不得超出竞选文件的范围且不得改变竞选文件的实质性内容，并构成竞选文件的组成部分。</w:t>
      </w:r>
    </w:p>
    <w:p w14:paraId="024D4E02">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3.3.3  评审小组对竞选人提交的澄清、说明或补正有疑问的，可以要求竞选人进一步澄清、说明或补正，直至满足评审小组的要求。</w:t>
      </w:r>
    </w:p>
    <w:p w14:paraId="76269CEB">
      <w:pPr>
        <w:pStyle w:val="4"/>
        <w:keepNext/>
        <w:keepLines/>
        <w:pageBreakBefore w:val="0"/>
        <w:widowControl/>
        <w:kinsoku w:val="0"/>
        <w:wordWrap/>
        <w:overflowPunct/>
        <w:topLinePunct w:val="0"/>
        <w:autoSpaceDE w:val="0"/>
        <w:autoSpaceDN w:val="0"/>
        <w:bidi w:val="0"/>
        <w:adjustRightInd w:val="0"/>
        <w:snapToGrid w:val="0"/>
        <w:spacing w:before="0" w:after="0" w:line="240" w:lineRule="auto"/>
        <w:ind w:firstLine="0" w:firstLineChars="0"/>
        <w:textAlignment w:val="baseline"/>
        <w:rPr>
          <w:rFonts w:hint="eastAsia" w:ascii="方正仿宋_GB18030" w:hAnsi="方正仿宋_GB18030" w:eastAsia="方正仿宋_GB18030" w:cs="方正仿宋_GB18030"/>
          <w:color w:val="auto"/>
          <w:sz w:val="21"/>
          <w:szCs w:val="21"/>
          <w:highlight w:val="none"/>
        </w:rPr>
      </w:pPr>
      <w:bookmarkStart w:id="223" w:name="_Toc32331"/>
      <w:r>
        <w:rPr>
          <w:rFonts w:hint="eastAsia" w:ascii="方正仿宋_GB18030" w:hAnsi="方正仿宋_GB18030" w:eastAsia="方正仿宋_GB18030" w:cs="方正仿宋_GB18030"/>
          <w:color w:val="auto"/>
          <w:sz w:val="21"/>
          <w:szCs w:val="21"/>
          <w:highlight w:val="none"/>
        </w:rPr>
        <w:t xml:space="preserve">3.4 </w:t>
      </w:r>
      <w:r>
        <w:rPr>
          <w:rFonts w:hint="eastAsia" w:ascii="方正仿宋_GB18030" w:hAnsi="方正仿宋_GB18030" w:eastAsia="方正仿宋_GB18030" w:cs="方正仿宋_GB18030"/>
          <w:color w:val="auto"/>
          <w:sz w:val="21"/>
          <w:szCs w:val="21"/>
          <w:highlight w:val="none"/>
          <w:lang w:eastAsia="zh-CN"/>
        </w:rPr>
        <w:t>评审</w:t>
      </w:r>
      <w:r>
        <w:rPr>
          <w:rFonts w:hint="eastAsia" w:ascii="方正仿宋_GB18030" w:hAnsi="方正仿宋_GB18030" w:eastAsia="方正仿宋_GB18030" w:cs="方正仿宋_GB18030"/>
          <w:color w:val="auto"/>
          <w:sz w:val="21"/>
          <w:szCs w:val="21"/>
          <w:highlight w:val="none"/>
        </w:rPr>
        <w:t>结果</w:t>
      </w:r>
      <w:bookmarkEnd w:id="223"/>
    </w:p>
    <w:p w14:paraId="5C2909A1">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3.4.1  除第二章“竞选人须知”前附表授权直接确定成交竞选人外，评审小组按照经评审的报价由低到高的顺序推荐成交竞选人候选人，并标明排序。</w:t>
      </w:r>
    </w:p>
    <w:p w14:paraId="0B5C12CF">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r>
        <w:rPr>
          <w:rFonts w:hint="eastAsia" w:ascii="方正仿宋_GB18030" w:hAnsi="方正仿宋_GB18030" w:eastAsia="方正仿宋_GB18030" w:cs="方正仿宋_GB18030"/>
          <w:snapToGrid/>
          <w:color w:val="auto"/>
          <w:kern w:val="0"/>
          <w:szCs w:val="21"/>
          <w:highlight w:val="none"/>
          <w:lang w:val="en-US" w:eastAsia="zh-CN" w:bidi="ar-SA"/>
        </w:rPr>
        <w:t>3.4.2  评审小组完成评审后，应当向比选人提交书面评审报告和成交竞选人候选人名单。</w:t>
      </w:r>
      <w:bookmarkEnd w:id="205"/>
      <w:bookmarkEnd w:id="206"/>
      <w:bookmarkEnd w:id="207"/>
      <w:bookmarkEnd w:id="208"/>
      <w:bookmarkEnd w:id="209"/>
      <w:bookmarkEnd w:id="210"/>
    </w:p>
    <w:p w14:paraId="479FFCA9">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37101FC4">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5774B129">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6D5628F1">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7C3D428B">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26A4F28D">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1BE26C9C">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F914C6C">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062D72E">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70ED8B7">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F91D90B">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24BC2B72">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32A5C17F">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65C42829">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12397E9A">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2A2B5CF0">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3EECF492">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2BA8F7B1">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36ED7511">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6D35763E">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99361BC">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60394685">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58F7FD42">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AB6F5AA">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79991F9B">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A469051">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14D6458C">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59BDA037">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793A2857">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16D95A96">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58AA4766">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29AFFF4D">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3007A4EB">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22AA12C4">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A431584">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1FD22F08">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0C1C6F7C">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1F7D32B4">
      <w:pPr>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方正仿宋_GB18030" w:hAnsi="方正仿宋_GB18030" w:eastAsia="方正仿宋_GB18030" w:cs="方正仿宋_GB18030"/>
          <w:snapToGrid/>
          <w:color w:val="auto"/>
          <w:kern w:val="0"/>
          <w:szCs w:val="21"/>
          <w:highlight w:val="none"/>
          <w:lang w:val="en-US" w:eastAsia="zh-CN" w:bidi="ar-SA"/>
        </w:rPr>
      </w:pPr>
    </w:p>
    <w:p w14:paraId="4258E594">
      <w:pPr>
        <w:pStyle w:val="3"/>
        <w:spacing w:before="0" w:after="0" w:line="240" w:lineRule="auto"/>
        <w:ind w:left="105" w:right="105"/>
        <w:jc w:val="center"/>
        <w:outlineLvl w:val="0"/>
        <w:rPr>
          <w:rFonts w:ascii="方正黑体_GBK" w:hAnsi="方正黑体_GBK" w:eastAsia="方正黑体_GBK"/>
        </w:rPr>
      </w:pPr>
      <w:r>
        <w:rPr>
          <w:rFonts w:hint="eastAsia" w:ascii="方正黑体_GBK" w:hAnsi="方正黑体_GBK" w:eastAsia="方正黑体_GBK"/>
        </w:rPr>
        <w:t>否决竞选情况一览表</w:t>
      </w:r>
    </w:p>
    <w:p w14:paraId="6AB411B7">
      <w:pPr>
        <w:ind w:left="105" w:right="105"/>
      </w:pPr>
    </w:p>
    <w:p w14:paraId="6E7AB557">
      <w:pPr>
        <w:ind w:left="105" w:right="105" w:firstLine="420" w:firstLineChars="200"/>
        <w:rPr>
          <w:rFonts w:ascii="方正仿宋_GBK" w:hAnsi="方正仿宋_GBK" w:eastAsia="方正仿宋_GBK" w:cs="Times New Roman"/>
        </w:rPr>
      </w:pPr>
      <w:r>
        <w:rPr>
          <w:rFonts w:hint="eastAsia" w:ascii="方正仿宋_GBK" w:hAnsi="方正仿宋_GBK" w:eastAsia="方正仿宋_GBK" w:cs="Times New Roman"/>
        </w:rPr>
        <w:t>竞选人</w:t>
      </w:r>
      <w:r>
        <w:rPr>
          <w:rFonts w:ascii="方正仿宋_GBK" w:hAnsi="方正仿宋_GBK" w:eastAsia="方正仿宋_GBK" w:cs="Times New Roman"/>
        </w:rPr>
        <w:t>有下列情形之一的，其</w:t>
      </w:r>
      <w:r>
        <w:rPr>
          <w:rFonts w:hint="eastAsia" w:ascii="方正仿宋_GBK" w:hAnsi="方正仿宋_GBK" w:eastAsia="方正仿宋_GBK" w:cs="Times New Roman"/>
        </w:rPr>
        <w:t>竞选</w:t>
      </w:r>
      <w:r>
        <w:rPr>
          <w:rFonts w:ascii="方正仿宋_GBK" w:hAnsi="方正仿宋_GBK" w:eastAsia="方正仿宋_GBK" w:cs="Times New Roman"/>
        </w:rPr>
        <w:t>作否决</w:t>
      </w:r>
      <w:r>
        <w:rPr>
          <w:rFonts w:hint="eastAsia" w:ascii="方正仿宋_GBK" w:hAnsi="方正仿宋_GBK" w:eastAsia="方正仿宋_GBK" w:cs="Times New Roman"/>
        </w:rPr>
        <w:t>竞选处理</w:t>
      </w:r>
      <w:r>
        <w:rPr>
          <w:rFonts w:ascii="方正仿宋_GBK" w:hAnsi="方正仿宋_GBK" w:eastAsia="方正仿宋_GBK" w:cs="Times New Roman"/>
        </w:rPr>
        <w:t>，否决竞选条件之外的</w:t>
      </w:r>
      <w:r>
        <w:rPr>
          <w:rFonts w:hint="eastAsia" w:ascii="方正仿宋_GBK" w:hAnsi="方正仿宋_GBK" w:eastAsia="方正仿宋_GBK" w:cs="Times New Roman"/>
        </w:rPr>
        <w:t>评审小组</w:t>
      </w:r>
      <w:r>
        <w:rPr>
          <w:rFonts w:ascii="方正仿宋_GBK" w:hAnsi="方正仿宋_GBK" w:eastAsia="方正仿宋_GBK" w:cs="Times New Roman"/>
        </w:rPr>
        <w:t>不得判为重大偏差。</w:t>
      </w:r>
    </w:p>
    <w:tbl>
      <w:tblPr>
        <w:tblStyle w:val="15"/>
        <w:tblW w:w="8401"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664"/>
        <w:gridCol w:w="7737"/>
      </w:tblGrid>
      <w:tr w14:paraId="749D6C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257BC6C4">
            <w:pPr>
              <w:ind w:left="105" w:right="105"/>
              <w:jc w:val="center"/>
              <w:rPr>
                <w:rFonts w:ascii="方正仿宋_GBK" w:hAnsi="方正仿宋_GBK" w:eastAsia="方正仿宋_GBK"/>
                <w:b/>
              </w:rPr>
            </w:pPr>
            <w:r>
              <w:rPr>
                <w:rFonts w:hint="eastAsia" w:ascii="方正仿宋_GBK" w:hAnsi="方正仿宋_GBK" w:eastAsia="方正仿宋_GBK" w:cs="宋体"/>
                <w:b/>
              </w:rPr>
              <w:t>序号</w:t>
            </w:r>
          </w:p>
        </w:tc>
        <w:tc>
          <w:tcPr>
            <w:tcW w:w="7737" w:type="dxa"/>
            <w:vAlign w:val="center"/>
          </w:tcPr>
          <w:p w14:paraId="77635FEC">
            <w:pPr>
              <w:ind w:left="105" w:right="105"/>
              <w:jc w:val="center"/>
              <w:rPr>
                <w:rFonts w:ascii="方正仿宋_GBK" w:hAnsi="方正仿宋_GBK" w:eastAsia="方正仿宋_GBK"/>
                <w:b/>
              </w:rPr>
            </w:pPr>
            <w:r>
              <w:rPr>
                <w:rFonts w:hint="eastAsia" w:ascii="方正仿宋_GBK" w:hAnsi="方正仿宋_GBK" w:eastAsia="方正仿宋_GBK" w:cs="宋体"/>
                <w:b/>
              </w:rPr>
              <w:t>否决竞选条件</w:t>
            </w:r>
          </w:p>
        </w:tc>
      </w:tr>
      <w:tr w14:paraId="60FDB08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64" w:type="dxa"/>
            <w:vAlign w:val="center"/>
          </w:tcPr>
          <w:p w14:paraId="1D837E4B">
            <w:pPr>
              <w:ind w:left="105" w:right="105"/>
              <w:jc w:val="center"/>
              <w:rPr>
                <w:rFonts w:ascii="方正仿宋_GBK" w:hAnsi="方正仿宋_GBK" w:eastAsia="方正仿宋_GBK"/>
              </w:rPr>
            </w:pPr>
            <w:r>
              <w:rPr>
                <w:rFonts w:hint="eastAsia" w:ascii="方正仿宋_GBK" w:hAnsi="方正仿宋_GBK" w:eastAsia="方正仿宋_GBK"/>
              </w:rPr>
              <w:t>1</w:t>
            </w:r>
          </w:p>
        </w:tc>
        <w:tc>
          <w:tcPr>
            <w:tcW w:w="7737" w:type="dxa"/>
            <w:vAlign w:val="center"/>
          </w:tcPr>
          <w:p w14:paraId="69339EE5">
            <w:pPr>
              <w:ind w:left="105" w:right="105"/>
              <w:rPr>
                <w:rFonts w:ascii="方正仿宋_GBK" w:hAnsi="方正仿宋_GBK" w:eastAsia="方正仿宋_GBK"/>
              </w:rPr>
            </w:pPr>
            <w:r>
              <w:rPr>
                <w:rFonts w:hint="eastAsia" w:ascii="方正仿宋_GBK" w:hAnsi="方正仿宋_GBK" w:eastAsia="方正仿宋_GBK" w:cs="Times New Roman"/>
              </w:rPr>
              <w:t>竞选文件</w:t>
            </w:r>
            <w:r>
              <w:rPr>
                <w:rFonts w:ascii="方正仿宋_GBK" w:hAnsi="方正仿宋_GBK" w:eastAsia="方正仿宋_GBK" w:cs="Times New Roman"/>
              </w:rPr>
              <w:t>应当对</w:t>
            </w:r>
            <w:r>
              <w:rPr>
                <w:rFonts w:hint="eastAsia" w:ascii="方正仿宋_GBK" w:hAnsi="方正仿宋_GBK" w:eastAsia="方正仿宋_GBK" w:cs="Times New Roman"/>
              </w:rPr>
              <w:t>比选文件</w:t>
            </w:r>
            <w:r>
              <w:rPr>
                <w:rFonts w:ascii="方正仿宋_GBK" w:hAnsi="方正仿宋_GBK" w:eastAsia="方正仿宋_GBK" w:cs="Times New Roman"/>
              </w:rPr>
              <w:t>的实质性要求和条件作出满足性或更有利于</w:t>
            </w:r>
            <w:r>
              <w:rPr>
                <w:rFonts w:hint="eastAsia" w:ascii="方正仿宋_GBK" w:hAnsi="方正仿宋_GBK" w:eastAsia="方正仿宋_GBK" w:cs="Times New Roman"/>
              </w:rPr>
              <w:t>比选人</w:t>
            </w:r>
            <w:r>
              <w:rPr>
                <w:rFonts w:ascii="方正仿宋_GBK" w:hAnsi="方正仿宋_GBK" w:eastAsia="方正仿宋_GBK" w:cs="Times New Roman"/>
              </w:rPr>
              <w:t>的竞选，否则</w:t>
            </w:r>
            <w:r>
              <w:rPr>
                <w:rFonts w:hint="eastAsia" w:ascii="方正仿宋_GBK" w:hAnsi="方正仿宋_GBK" w:eastAsia="方正仿宋_GBK" w:cs="Times New Roman"/>
              </w:rPr>
              <w:t>，竞选人</w:t>
            </w:r>
            <w:r>
              <w:rPr>
                <w:rFonts w:ascii="方正仿宋_GBK" w:hAnsi="方正仿宋_GBK" w:eastAsia="方正仿宋_GBK" w:cs="Times New Roman"/>
              </w:rPr>
              <w:t>的竞选将被否决。</w:t>
            </w:r>
          </w:p>
        </w:tc>
      </w:tr>
      <w:tr w14:paraId="7644D65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363DC164">
            <w:pPr>
              <w:ind w:left="105" w:right="105"/>
              <w:jc w:val="center"/>
              <w:rPr>
                <w:rFonts w:ascii="方正仿宋_GBK" w:hAnsi="方正仿宋_GBK" w:eastAsia="方正仿宋_GBK"/>
              </w:rPr>
            </w:pPr>
            <w:r>
              <w:rPr>
                <w:rFonts w:hint="eastAsia" w:ascii="方正仿宋_GBK" w:hAnsi="方正仿宋_GBK" w:eastAsia="方正仿宋_GBK"/>
              </w:rPr>
              <w:t>2</w:t>
            </w:r>
          </w:p>
        </w:tc>
        <w:tc>
          <w:tcPr>
            <w:tcW w:w="7737" w:type="dxa"/>
          </w:tcPr>
          <w:p w14:paraId="6270BAF4">
            <w:pPr>
              <w:ind w:left="105" w:right="105"/>
              <w:rPr>
                <w:rFonts w:ascii="方正仿宋_GBK" w:hAnsi="方正仿宋_GBK" w:eastAsia="方正仿宋_GBK"/>
              </w:rPr>
            </w:pPr>
            <w:r>
              <w:rPr>
                <w:rFonts w:hint="eastAsia" w:ascii="方正仿宋_GBK" w:hAnsi="方正仿宋_GBK" w:eastAsia="方正仿宋_GBK" w:cs="Times New Roman"/>
              </w:rPr>
              <w:t>竞选文件</w:t>
            </w:r>
            <w:r>
              <w:rPr>
                <w:rFonts w:ascii="方正仿宋_GBK" w:hAnsi="方正仿宋_GBK" w:eastAsia="方正仿宋_GBK" w:cs="Times New Roman"/>
              </w:rPr>
              <w:t>中应针对实质性要求和条件中列明的技术要求提供技术支持资料</w:t>
            </w:r>
            <w:r>
              <w:rPr>
                <w:rFonts w:hint="eastAsia" w:ascii="方正仿宋_GBK" w:hAnsi="方正仿宋_GBK" w:eastAsia="方正仿宋_GBK" w:cs="Times New Roman"/>
              </w:rPr>
              <w:t>，</w:t>
            </w:r>
            <w:r>
              <w:rPr>
                <w:rFonts w:ascii="方正仿宋_GBK" w:hAnsi="方正仿宋_GBK" w:eastAsia="方正仿宋_GBK" w:cs="Times New Roman"/>
              </w:rPr>
              <w:t>技术支持资料</w:t>
            </w:r>
            <w:r>
              <w:rPr>
                <w:rFonts w:hint="eastAsia" w:ascii="方正仿宋_GBK" w:hAnsi="方正仿宋_GBK" w:eastAsia="方正仿宋_GBK" w:cs="Times New Roman"/>
              </w:rPr>
              <w:t>须按照比选文件要求提供，</w:t>
            </w:r>
            <w:r>
              <w:rPr>
                <w:rFonts w:hint="eastAsia" w:ascii="方正仿宋_GBK" w:hAnsi="方正仿宋_GBK" w:eastAsia="方正仿宋_GBK"/>
              </w:rPr>
              <w:t>否则其竞选文件按否决</w:t>
            </w:r>
            <w:r>
              <w:rPr>
                <w:rFonts w:hint="eastAsia" w:ascii="方正仿宋_GBK" w:hAnsi="方正仿宋_GBK" w:eastAsia="方正仿宋_GBK" w:cs="宋体"/>
              </w:rPr>
              <w:t>竞选</w:t>
            </w:r>
            <w:r>
              <w:rPr>
                <w:rFonts w:hint="eastAsia" w:ascii="方正仿宋_GBK" w:hAnsi="方正仿宋_GBK" w:eastAsia="方正仿宋_GBK"/>
              </w:rPr>
              <w:t>处理。</w:t>
            </w:r>
          </w:p>
        </w:tc>
      </w:tr>
      <w:tr w14:paraId="630CAE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44C0326C">
            <w:pPr>
              <w:ind w:left="105" w:right="105"/>
              <w:jc w:val="center"/>
              <w:rPr>
                <w:rFonts w:ascii="方正仿宋_GBK" w:hAnsi="方正仿宋_GBK" w:eastAsia="方正仿宋_GBK"/>
              </w:rPr>
            </w:pPr>
            <w:r>
              <w:rPr>
                <w:rFonts w:hint="eastAsia" w:ascii="方正仿宋_GBK" w:hAnsi="方正仿宋_GBK" w:eastAsia="方正仿宋_GBK"/>
              </w:rPr>
              <w:t>3</w:t>
            </w:r>
          </w:p>
        </w:tc>
        <w:tc>
          <w:tcPr>
            <w:tcW w:w="7737" w:type="dxa"/>
          </w:tcPr>
          <w:p w14:paraId="2CFD5138">
            <w:pPr>
              <w:ind w:left="105" w:right="105"/>
              <w:rPr>
                <w:rFonts w:ascii="方正仿宋_GBK" w:hAnsi="方正仿宋_GBK" w:eastAsia="方正仿宋_GBK"/>
                <w:sz w:val="18"/>
                <w:szCs w:val="18"/>
              </w:rPr>
            </w:pP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须知前附表规定了可以偏差的范围和最高偏差项数的，偏差应当符合</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须知前附表规定的偏差范围和最高项数</w:t>
            </w:r>
            <w:r>
              <w:rPr>
                <w:rFonts w:hint="eastAsia" w:ascii="方正仿宋_GBK" w:hAnsi="方正仿宋_GBK" w:eastAsia="方正仿宋_GBK" w:cs="Times New Roman"/>
              </w:rPr>
              <w:t>，</w:t>
            </w:r>
            <w:r>
              <w:rPr>
                <w:rFonts w:ascii="方正仿宋_GBK" w:hAnsi="方正仿宋_GBK" w:eastAsia="方正仿宋_GBK" w:cs="Times New Roman"/>
              </w:rPr>
              <w:t>超出偏差范围和最高偏差项数的竞选将被否决。</w:t>
            </w:r>
          </w:p>
        </w:tc>
      </w:tr>
      <w:tr w14:paraId="4EB1A38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1E558052">
            <w:pPr>
              <w:ind w:left="105" w:right="105"/>
              <w:jc w:val="center"/>
              <w:rPr>
                <w:rFonts w:ascii="方正仿宋_GBK" w:hAnsi="方正仿宋_GBK" w:eastAsia="方正仿宋_GBK"/>
              </w:rPr>
            </w:pPr>
            <w:r>
              <w:rPr>
                <w:rFonts w:hint="eastAsia" w:ascii="方正仿宋_GBK" w:hAnsi="方正仿宋_GBK" w:eastAsia="方正仿宋_GBK"/>
              </w:rPr>
              <w:t>4</w:t>
            </w:r>
          </w:p>
        </w:tc>
        <w:tc>
          <w:tcPr>
            <w:tcW w:w="7737" w:type="dxa"/>
          </w:tcPr>
          <w:p w14:paraId="339DED85">
            <w:pPr>
              <w:ind w:left="105" w:right="105"/>
              <w:rPr>
                <w:rFonts w:ascii="方正仿宋_GBK" w:hAnsi="方正仿宋_GBK" w:eastAsia="方正仿宋_GBK"/>
              </w:rPr>
            </w:pPr>
            <w:r>
              <w:rPr>
                <w:rFonts w:hint="eastAsia" w:ascii="方正仿宋_GBK" w:hAnsi="方正仿宋_GBK" w:eastAsia="方正仿宋_GBK" w:cs="Times New Roman"/>
              </w:rPr>
              <w:t>竞选人</w:t>
            </w:r>
            <w:r>
              <w:rPr>
                <w:rFonts w:ascii="方正仿宋_GBK" w:hAnsi="方正仿宋_GBK" w:eastAsia="方正仿宋_GBK" w:cs="Times New Roman"/>
              </w:rPr>
              <w:t>不按</w:t>
            </w:r>
            <w:r>
              <w:rPr>
                <w:rFonts w:hint="eastAsia" w:ascii="方正仿宋_GBK" w:hAnsi="方正仿宋_GBK" w:eastAsia="方正仿宋_GBK" w:cs="Times New Roman"/>
              </w:rPr>
              <w:t>第二</w:t>
            </w:r>
            <w:r>
              <w:rPr>
                <w:rFonts w:ascii="方正仿宋_GBK" w:hAnsi="方正仿宋_GBK" w:eastAsia="方正仿宋_GBK" w:cs="Times New Roman"/>
              </w:rPr>
              <w:t>章第 3.4.1项要求提交</w:t>
            </w:r>
            <w:r>
              <w:rPr>
                <w:rFonts w:hint="eastAsia" w:ascii="方正仿宋_GBK" w:hAnsi="方正仿宋_GBK" w:eastAsia="方正仿宋_GBK" w:cs="Times New Roman"/>
              </w:rPr>
              <w:t>竞选保证金</w:t>
            </w:r>
            <w:r>
              <w:rPr>
                <w:rFonts w:ascii="方正仿宋_GBK" w:hAnsi="方正仿宋_GBK" w:eastAsia="方正仿宋_GBK" w:cs="Times New Roman"/>
              </w:rPr>
              <w:t>的，</w:t>
            </w:r>
            <w:r>
              <w:rPr>
                <w:rFonts w:hint="eastAsia" w:ascii="方正仿宋_GBK" w:hAnsi="方正仿宋_GBK" w:eastAsia="方正仿宋_GBK" w:cs="Times New Roman"/>
              </w:rPr>
              <w:t>评审小组</w:t>
            </w:r>
            <w:r>
              <w:rPr>
                <w:rFonts w:ascii="方正仿宋_GBK" w:hAnsi="方正仿宋_GBK" w:eastAsia="方正仿宋_GBK" w:cs="Times New Roman"/>
              </w:rPr>
              <w:t>将否决其竞选</w:t>
            </w:r>
            <w:r>
              <w:rPr>
                <w:rFonts w:hint="eastAsia" w:ascii="方正仿宋_GBK" w:hAnsi="方正仿宋_GBK" w:eastAsia="方正仿宋_GBK" w:cs="Times New Roman"/>
              </w:rPr>
              <w:t>。</w:t>
            </w:r>
          </w:p>
        </w:tc>
      </w:tr>
      <w:tr w14:paraId="6A3FFEA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06A6E42A">
            <w:pPr>
              <w:ind w:left="105" w:right="105"/>
              <w:jc w:val="center"/>
              <w:rPr>
                <w:rFonts w:ascii="方正仿宋_GBK" w:hAnsi="方正仿宋_GBK" w:eastAsia="方正仿宋_GBK"/>
              </w:rPr>
            </w:pPr>
            <w:r>
              <w:rPr>
                <w:rFonts w:hint="eastAsia" w:ascii="方正仿宋_GBK" w:hAnsi="方正仿宋_GBK" w:eastAsia="方正仿宋_GBK"/>
              </w:rPr>
              <w:t>5</w:t>
            </w:r>
          </w:p>
        </w:tc>
        <w:tc>
          <w:tcPr>
            <w:tcW w:w="7737" w:type="dxa"/>
          </w:tcPr>
          <w:p w14:paraId="2EE18F5A">
            <w:pPr>
              <w:ind w:left="105" w:right="105"/>
              <w:rPr>
                <w:rFonts w:ascii="方正仿宋_GBK" w:hAnsi="方正仿宋_GBK" w:eastAsia="方正仿宋_GBK"/>
              </w:rPr>
            </w:pPr>
            <w:r>
              <w:rPr>
                <w:rFonts w:ascii="方正仿宋_GBK" w:hAnsi="方正仿宋_GBK" w:eastAsia="方正仿宋_GBK" w:cs="Times New Roman"/>
              </w:rPr>
              <w:t>除</w:t>
            </w:r>
            <w:r>
              <w:rPr>
                <w:rFonts w:hint="eastAsia" w:ascii="方正仿宋_GBK" w:hAnsi="方正仿宋_GBK" w:eastAsia="方正仿宋_GBK" w:cs="Times New Roman"/>
              </w:rPr>
              <w:t>竞选人</w:t>
            </w:r>
            <w:r>
              <w:rPr>
                <w:rFonts w:ascii="方正仿宋_GBK" w:hAnsi="方正仿宋_GBK" w:eastAsia="方正仿宋_GBK" w:cs="Times New Roman"/>
              </w:rPr>
              <w:t>须知前附表规定允许外，</w:t>
            </w:r>
            <w:r>
              <w:rPr>
                <w:rFonts w:hint="eastAsia" w:ascii="方正仿宋_GBK" w:hAnsi="方正仿宋_GBK" w:eastAsia="方正仿宋_GBK" w:cs="Times New Roman"/>
              </w:rPr>
              <w:t>竞选人</w:t>
            </w:r>
            <w:r>
              <w:rPr>
                <w:rFonts w:ascii="方正仿宋_GBK" w:hAnsi="方正仿宋_GBK" w:eastAsia="方正仿宋_GBK" w:cs="Times New Roman"/>
              </w:rPr>
              <w:t>不得递交备选竞选方案，否则其竞选将被否决。</w:t>
            </w:r>
          </w:p>
        </w:tc>
      </w:tr>
      <w:tr w14:paraId="488771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1EACE2A5">
            <w:pPr>
              <w:ind w:left="105" w:right="105"/>
              <w:jc w:val="center"/>
              <w:rPr>
                <w:rFonts w:ascii="方正仿宋_GBK" w:hAnsi="方正仿宋_GBK" w:eastAsia="方正仿宋_GBK"/>
              </w:rPr>
            </w:pPr>
            <w:r>
              <w:rPr>
                <w:rFonts w:hint="eastAsia" w:ascii="方正仿宋_GBK" w:hAnsi="方正仿宋_GBK" w:eastAsia="方正仿宋_GBK"/>
              </w:rPr>
              <w:t>6</w:t>
            </w:r>
          </w:p>
        </w:tc>
        <w:tc>
          <w:tcPr>
            <w:tcW w:w="7737" w:type="dxa"/>
          </w:tcPr>
          <w:p w14:paraId="32EC1A13">
            <w:pPr>
              <w:ind w:left="105" w:right="105"/>
              <w:rPr>
                <w:rFonts w:ascii="方正仿宋_GBK" w:hAnsi="方正仿宋_GBK" w:eastAsia="方正仿宋_GBK"/>
              </w:rPr>
            </w:pPr>
            <w:r>
              <w:rPr>
                <w:rFonts w:hint="eastAsia" w:ascii="方正仿宋_GBK" w:hAnsi="方正仿宋_GBK" w:eastAsia="方正仿宋_GBK" w:cs="Times New Roman"/>
              </w:rPr>
              <w:t>评审小组</w:t>
            </w:r>
            <w:r>
              <w:rPr>
                <w:rFonts w:ascii="方正仿宋_GBK" w:hAnsi="方正仿宋_GBK" w:eastAsia="方正仿宋_GBK" w:cs="Times New Roman"/>
              </w:rPr>
              <w:t>依据</w:t>
            </w:r>
            <w:r>
              <w:rPr>
                <w:rFonts w:hint="eastAsia" w:ascii="方正仿宋_GBK" w:hAnsi="方正仿宋_GBK" w:eastAsia="方正仿宋_GBK" w:cs="Times New Roman"/>
              </w:rPr>
              <w:t>第三</w:t>
            </w:r>
            <w:r>
              <w:rPr>
                <w:rFonts w:ascii="方正仿宋_GBK" w:hAnsi="方正仿宋_GBK" w:eastAsia="方正仿宋_GBK" w:cs="Times New Roman"/>
              </w:rPr>
              <w:t>章第2.1款规定的标准对</w:t>
            </w:r>
            <w:r>
              <w:rPr>
                <w:rFonts w:hint="eastAsia" w:ascii="方正仿宋_GBK" w:hAnsi="方正仿宋_GBK" w:eastAsia="方正仿宋_GBK" w:cs="Times New Roman"/>
              </w:rPr>
              <w:t>竞选文件</w:t>
            </w:r>
            <w:r>
              <w:rPr>
                <w:rFonts w:ascii="方正仿宋_GBK" w:hAnsi="方正仿宋_GBK" w:eastAsia="方正仿宋_GBK" w:cs="Times New Roman"/>
              </w:rPr>
              <w:t>进行初步评审。有一项不符合评审标准的，</w:t>
            </w:r>
            <w:r>
              <w:rPr>
                <w:rFonts w:hint="eastAsia" w:ascii="方正仿宋_GBK" w:hAnsi="方正仿宋_GBK" w:eastAsia="方正仿宋_GBK" w:cs="Times New Roman"/>
              </w:rPr>
              <w:t>评审小组</w:t>
            </w:r>
            <w:r>
              <w:rPr>
                <w:rFonts w:ascii="方正仿宋_GBK" w:hAnsi="方正仿宋_GBK" w:eastAsia="方正仿宋_GBK" w:cs="Times New Roman"/>
              </w:rPr>
              <w:t>应当否决其竞选。</w:t>
            </w:r>
          </w:p>
        </w:tc>
      </w:tr>
      <w:tr w14:paraId="3C9A170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5F956229">
            <w:pPr>
              <w:ind w:left="105" w:right="105"/>
              <w:jc w:val="center"/>
              <w:rPr>
                <w:rFonts w:ascii="方正仿宋_GBK" w:hAnsi="方正仿宋_GBK" w:eastAsia="方正仿宋_GBK"/>
              </w:rPr>
            </w:pPr>
            <w:r>
              <w:rPr>
                <w:rFonts w:hint="eastAsia" w:ascii="方正仿宋_GBK" w:hAnsi="方正仿宋_GBK" w:eastAsia="方正仿宋_GBK"/>
              </w:rPr>
              <w:t>7</w:t>
            </w:r>
          </w:p>
        </w:tc>
        <w:tc>
          <w:tcPr>
            <w:tcW w:w="7737" w:type="dxa"/>
          </w:tcPr>
          <w:p w14:paraId="602B6055">
            <w:pPr>
              <w:ind w:left="105" w:right="105"/>
              <w:rPr>
                <w:rFonts w:ascii="方正仿宋_GBK" w:hAnsi="方正仿宋_GBK" w:eastAsia="方正仿宋_GBK"/>
              </w:rPr>
            </w:pPr>
            <w:r>
              <w:rPr>
                <w:rFonts w:ascii="方正仿宋_GBK" w:hAnsi="方正仿宋_GBK" w:eastAsia="方正仿宋_GBK" w:cs="Times New Roman"/>
              </w:rPr>
              <w:t>有串通竞选、弄虚作假、行贿等违法行为。</w:t>
            </w:r>
          </w:p>
        </w:tc>
      </w:tr>
      <w:tr w14:paraId="49D6EA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21009AA5">
            <w:pPr>
              <w:ind w:left="105" w:right="105"/>
              <w:jc w:val="center"/>
              <w:rPr>
                <w:rFonts w:ascii="方正仿宋_GBK" w:hAnsi="方正仿宋_GBK" w:eastAsia="方正仿宋_GBK"/>
              </w:rPr>
            </w:pPr>
            <w:r>
              <w:rPr>
                <w:rFonts w:hint="eastAsia" w:ascii="方正仿宋_GBK" w:hAnsi="方正仿宋_GBK" w:eastAsia="方正仿宋_GBK"/>
              </w:rPr>
              <w:t>8</w:t>
            </w:r>
          </w:p>
        </w:tc>
        <w:tc>
          <w:tcPr>
            <w:tcW w:w="7737" w:type="dxa"/>
            <w:vAlign w:val="center"/>
          </w:tcPr>
          <w:p w14:paraId="08250629">
            <w:pPr>
              <w:ind w:left="105" w:right="105"/>
              <w:rPr>
                <w:rFonts w:ascii="方正仿宋_GBK" w:hAnsi="方正仿宋_GBK" w:eastAsia="方正仿宋_GBK"/>
              </w:rPr>
            </w:pPr>
            <w:r>
              <w:rPr>
                <w:rFonts w:ascii="方正仿宋_GBK" w:hAnsi="方正仿宋_GBK" w:eastAsia="方正仿宋_GBK" w:cs="Times New Roman"/>
              </w:rPr>
              <w:t>竞选报价有算术错误及其他错误的</w:t>
            </w:r>
            <w:r>
              <w:rPr>
                <w:rFonts w:hint="eastAsia" w:ascii="方正仿宋_GBK" w:hAnsi="方正仿宋_GBK" w:eastAsia="方正仿宋_GBK" w:cs="Times New Roman"/>
              </w:rPr>
              <w:t>，评审小组</w:t>
            </w:r>
            <w:r>
              <w:rPr>
                <w:rFonts w:ascii="方正仿宋_GBK" w:hAnsi="方正仿宋_GBK" w:eastAsia="方正仿宋_GBK" w:cs="Times New Roman"/>
              </w:rPr>
              <w:t>按</w:t>
            </w:r>
            <w:r>
              <w:rPr>
                <w:rFonts w:hint="eastAsia" w:ascii="方正仿宋_GBK" w:hAnsi="方正仿宋_GBK" w:eastAsia="方正仿宋_GBK" w:cs="Times New Roman"/>
              </w:rPr>
              <w:t>比选文件规定的</w:t>
            </w:r>
            <w:r>
              <w:rPr>
                <w:rFonts w:ascii="方正仿宋_GBK" w:hAnsi="方正仿宋_GBK" w:eastAsia="方正仿宋_GBK" w:cs="Times New Roman"/>
              </w:rPr>
              <w:t>原则要求</w:t>
            </w:r>
            <w:r>
              <w:rPr>
                <w:rFonts w:hint="eastAsia" w:ascii="方正仿宋_GBK" w:hAnsi="方正仿宋_GBK" w:eastAsia="方正仿宋_GBK" w:cs="Times New Roman"/>
              </w:rPr>
              <w:t>竞选人</w:t>
            </w:r>
            <w:r>
              <w:rPr>
                <w:rFonts w:ascii="方正仿宋_GBK" w:hAnsi="方正仿宋_GBK" w:eastAsia="方正仿宋_GBK" w:cs="Times New Roman"/>
              </w:rPr>
              <w:t>对竞选报价进行修正，并要求</w:t>
            </w:r>
            <w:r>
              <w:rPr>
                <w:rFonts w:hint="eastAsia" w:ascii="方正仿宋_GBK" w:hAnsi="方正仿宋_GBK" w:eastAsia="方正仿宋_GBK" w:cs="Times New Roman"/>
              </w:rPr>
              <w:t>竞选人</w:t>
            </w:r>
            <w:r>
              <w:rPr>
                <w:rFonts w:ascii="方正仿宋_GBK" w:hAnsi="方正仿宋_GBK" w:eastAsia="方正仿宋_GBK" w:cs="Times New Roman"/>
              </w:rPr>
              <w:t>书面澄清确认。</w:t>
            </w:r>
            <w:r>
              <w:rPr>
                <w:rFonts w:hint="eastAsia" w:ascii="方正仿宋_GBK" w:hAnsi="方正仿宋_GBK" w:eastAsia="方正仿宋_GBK" w:cs="Times New Roman"/>
              </w:rPr>
              <w:t>竞选人</w:t>
            </w:r>
            <w:r>
              <w:rPr>
                <w:rFonts w:ascii="方正仿宋_GBK" w:hAnsi="方正仿宋_GBK" w:eastAsia="方正仿宋_GBK" w:cs="Times New Roman"/>
              </w:rPr>
              <w:t>拒不澄清确认的，</w:t>
            </w:r>
            <w:r>
              <w:rPr>
                <w:rFonts w:hint="eastAsia" w:ascii="方正仿宋_GBK" w:hAnsi="方正仿宋_GBK" w:eastAsia="方正仿宋_GBK" w:cs="Times New Roman"/>
              </w:rPr>
              <w:t>评审小组</w:t>
            </w:r>
            <w:r>
              <w:rPr>
                <w:rFonts w:ascii="方正仿宋_GBK" w:hAnsi="方正仿宋_GBK" w:eastAsia="方正仿宋_GBK" w:cs="Times New Roman"/>
              </w:rPr>
              <w:t>应当否决其竞选</w:t>
            </w:r>
            <w:r>
              <w:rPr>
                <w:rFonts w:hint="eastAsia" w:ascii="方正仿宋_GBK" w:hAnsi="方正仿宋_GBK" w:eastAsia="方正仿宋_GBK" w:cs="Times New Roman"/>
              </w:rPr>
              <w:t>。</w:t>
            </w:r>
          </w:p>
        </w:tc>
      </w:tr>
      <w:tr w14:paraId="4A26DF7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34EF5341">
            <w:pPr>
              <w:ind w:left="105" w:right="105"/>
              <w:jc w:val="center"/>
              <w:rPr>
                <w:rFonts w:ascii="方正仿宋_GBK" w:hAnsi="方正仿宋_GBK" w:eastAsia="方正仿宋_GBK"/>
              </w:rPr>
            </w:pPr>
            <w:r>
              <w:rPr>
                <w:rFonts w:hint="eastAsia" w:ascii="方正仿宋_GBK" w:hAnsi="方正仿宋_GBK" w:eastAsia="方正仿宋_GBK"/>
              </w:rPr>
              <w:t>9</w:t>
            </w:r>
          </w:p>
        </w:tc>
        <w:tc>
          <w:tcPr>
            <w:tcW w:w="7737" w:type="dxa"/>
            <w:vAlign w:val="center"/>
          </w:tcPr>
          <w:p w14:paraId="1970745E">
            <w:pPr>
              <w:ind w:left="105" w:right="105"/>
              <w:rPr>
                <w:rFonts w:ascii="方正仿宋_GBK" w:hAnsi="方正仿宋_GBK" w:eastAsia="方正仿宋_GBK"/>
              </w:rPr>
            </w:pPr>
            <w:r>
              <w:rPr>
                <w:rFonts w:hint="eastAsia" w:ascii="方正仿宋_GBK" w:hAnsi="方正仿宋_GBK" w:eastAsia="方正仿宋_GBK" w:cs="Times New Roman"/>
              </w:rPr>
              <w:t>评审小组</w:t>
            </w:r>
            <w:r>
              <w:rPr>
                <w:rFonts w:ascii="方正仿宋_GBK" w:hAnsi="方正仿宋_GBK" w:eastAsia="方正仿宋_GBK" w:cs="Times New Roman"/>
              </w:rPr>
              <w:t>发现</w:t>
            </w:r>
            <w:r>
              <w:rPr>
                <w:rFonts w:hint="eastAsia" w:ascii="方正仿宋_GBK" w:hAnsi="方正仿宋_GBK" w:eastAsia="方正仿宋_GBK" w:cs="Times New Roman"/>
              </w:rPr>
              <w:t>竞选人</w:t>
            </w:r>
            <w:r>
              <w:rPr>
                <w:rFonts w:ascii="方正仿宋_GBK" w:hAnsi="方正仿宋_GBK" w:eastAsia="方正仿宋_GBK" w:cs="Times New Roman"/>
              </w:rPr>
              <w:t>的报价明显低于其他竞选报价</w:t>
            </w:r>
            <w:r>
              <w:rPr>
                <w:rFonts w:hint="eastAsia" w:ascii="方正仿宋_GBK" w:hAnsi="方正仿宋_GBK" w:eastAsia="方正仿宋_GBK" w:cs="Times New Roman"/>
              </w:rPr>
              <w:t>，</w:t>
            </w:r>
            <w:r>
              <w:rPr>
                <w:rFonts w:ascii="方正仿宋_GBK" w:hAnsi="方正仿宋_GBK" w:eastAsia="方正仿宋_GBK" w:cs="Times New Roman"/>
              </w:rPr>
              <w:t>使得其竞选报价可能低于其个别成本的，应当要求该</w:t>
            </w:r>
            <w:r>
              <w:rPr>
                <w:rFonts w:hint="eastAsia" w:ascii="方正仿宋_GBK" w:hAnsi="方正仿宋_GBK" w:eastAsia="方正仿宋_GBK" w:cs="Times New Roman"/>
              </w:rPr>
              <w:t>竞选人</w:t>
            </w:r>
            <w:r>
              <w:rPr>
                <w:rFonts w:ascii="方正仿宋_GBK" w:hAnsi="方正仿宋_GBK" w:eastAsia="方正仿宋_GBK" w:cs="Times New Roman"/>
              </w:rPr>
              <w:t>作出书面说明并提供相应的证明材料。</w:t>
            </w:r>
            <w:r>
              <w:rPr>
                <w:rFonts w:hint="eastAsia" w:ascii="方正仿宋_GBK" w:hAnsi="方正仿宋_GBK" w:eastAsia="方正仿宋_GBK" w:cs="Times New Roman"/>
              </w:rPr>
              <w:t>竞选人</w:t>
            </w:r>
            <w:r>
              <w:rPr>
                <w:rFonts w:ascii="方正仿宋_GBK" w:hAnsi="方正仿宋_GBK" w:eastAsia="方正仿宋_GBK" w:cs="Times New Roman"/>
              </w:rPr>
              <w:t>不能合理说明或者不能提供相应证明材料的</w:t>
            </w:r>
            <w:r>
              <w:rPr>
                <w:rFonts w:hint="eastAsia" w:ascii="方正仿宋_GBK" w:hAnsi="方正仿宋_GBK" w:eastAsia="方正仿宋_GBK" w:cs="Times New Roman"/>
              </w:rPr>
              <w:t>，评审小组</w:t>
            </w:r>
            <w:r>
              <w:rPr>
                <w:rFonts w:ascii="方正仿宋_GBK" w:hAnsi="方正仿宋_GBK" w:eastAsia="方正仿宋_GBK" w:cs="Times New Roman"/>
              </w:rPr>
              <w:t>应当认定该</w:t>
            </w:r>
            <w:r>
              <w:rPr>
                <w:rFonts w:hint="eastAsia" w:ascii="方正仿宋_GBK" w:hAnsi="方正仿宋_GBK" w:eastAsia="方正仿宋_GBK" w:cs="Times New Roman"/>
              </w:rPr>
              <w:t>竞选人</w:t>
            </w:r>
            <w:r>
              <w:rPr>
                <w:rFonts w:ascii="方正仿宋_GBK" w:hAnsi="方正仿宋_GBK" w:eastAsia="方正仿宋_GBK" w:cs="Times New Roman"/>
              </w:rPr>
              <w:t>以低于成本报价竞标</w:t>
            </w:r>
            <w:r>
              <w:rPr>
                <w:rFonts w:hint="eastAsia" w:ascii="方正仿宋_GBK" w:hAnsi="方正仿宋_GBK" w:eastAsia="方正仿宋_GBK" w:cs="Times New Roman"/>
              </w:rPr>
              <w:t>，</w:t>
            </w:r>
            <w:r>
              <w:rPr>
                <w:rFonts w:ascii="方正仿宋_GBK" w:hAnsi="方正仿宋_GBK" w:eastAsia="方正仿宋_GBK" w:cs="Times New Roman"/>
              </w:rPr>
              <w:t>并否决其竞选。</w:t>
            </w:r>
          </w:p>
        </w:tc>
      </w:tr>
      <w:tr w14:paraId="7E821C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23714DA6">
            <w:pPr>
              <w:ind w:left="105" w:right="105"/>
              <w:jc w:val="center"/>
              <w:rPr>
                <w:rFonts w:hint="default" w:ascii="方正仿宋_GBK" w:hAnsi="方正仿宋_GBK" w:eastAsia="方正仿宋_GBK"/>
                <w:lang w:val="en-US" w:eastAsia="zh-CN"/>
              </w:rPr>
            </w:pPr>
            <w:r>
              <w:rPr>
                <w:rFonts w:hint="eastAsia" w:ascii="方正仿宋_GBK" w:hAnsi="方正仿宋_GBK" w:eastAsia="方正仿宋_GBK"/>
                <w:lang w:val="en-US" w:eastAsia="zh-CN"/>
              </w:rPr>
              <w:t>10</w:t>
            </w:r>
          </w:p>
        </w:tc>
        <w:tc>
          <w:tcPr>
            <w:tcW w:w="7737" w:type="dxa"/>
            <w:vAlign w:val="center"/>
          </w:tcPr>
          <w:p w14:paraId="002F774A">
            <w:pPr>
              <w:ind w:left="105" w:right="105"/>
              <w:rPr>
                <w:rFonts w:hint="eastAsia" w:ascii="方正仿宋_GBK" w:hAnsi="方正仿宋_GBK" w:eastAsia="方正仿宋_GBK" w:cs="Times New Roman"/>
                <w:lang w:val="en-US" w:eastAsia="zh-CN"/>
              </w:rPr>
            </w:pPr>
            <w:r>
              <w:rPr>
                <w:rFonts w:ascii="方正仿宋_GBK" w:hAnsi="方正仿宋_GBK" w:eastAsia="方正仿宋_GBK" w:cs="Times New Roman"/>
              </w:rPr>
              <w:t>不同竞选人提交的技术方案或其他竞选材料存在异常雷同，且无法合理说明的，视为串通投标，作否决处理</w:t>
            </w:r>
            <w:r>
              <w:rPr>
                <w:rFonts w:hint="eastAsia" w:ascii="方正仿宋_GBK" w:hAnsi="方正仿宋_GBK" w:eastAsia="方正仿宋_GBK" w:cs="Times New Roman"/>
                <w:lang w:eastAsia="zh-CN"/>
              </w:rPr>
              <w:t>。</w:t>
            </w:r>
          </w:p>
        </w:tc>
      </w:tr>
      <w:tr w14:paraId="6A1D9F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664" w:type="dxa"/>
            <w:vAlign w:val="center"/>
          </w:tcPr>
          <w:p w14:paraId="1B5AEE2B">
            <w:pPr>
              <w:ind w:left="105" w:right="105"/>
              <w:jc w:val="center"/>
              <w:rPr>
                <w:rFonts w:ascii="方正仿宋_GBK" w:hAnsi="方正仿宋_GBK" w:eastAsia="方正仿宋_GBK"/>
              </w:rPr>
            </w:pPr>
            <w:r>
              <w:rPr>
                <w:rFonts w:hint="eastAsia" w:ascii="方正仿宋_GBK" w:hAnsi="方正仿宋_GBK" w:eastAsia="方正仿宋_GBK"/>
              </w:rPr>
              <w:t>其他</w:t>
            </w:r>
          </w:p>
        </w:tc>
        <w:tc>
          <w:tcPr>
            <w:tcW w:w="7737" w:type="dxa"/>
            <w:vAlign w:val="center"/>
          </w:tcPr>
          <w:p w14:paraId="7A5697A8">
            <w:pPr>
              <w:ind w:left="105" w:right="105"/>
              <w:rPr>
                <w:rFonts w:ascii="方正仿宋_GBK" w:hAnsi="方正仿宋_GBK" w:eastAsia="方正仿宋_GBK" w:cs="Times New Roman"/>
              </w:rPr>
            </w:pPr>
            <w:r>
              <w:rPr>
                <w:rFonts w:hint="eastAsia" w:ascii="方正仿宋_GBK" w:hAnsi="方正仿宋_GBK" w:eastAsia="方正仿宋_GBK" w:cs="Times New Roman"/>
              </w:rPr>
              <w:t>比选人必须将所有否决竞选条款集中罗列于此表，若无其他否决竞选条款则在该条写无。</w:t>
            </w:r>
          </w:p>
        </w:tc>
      </w:tr>
    </w:tbl>
    <w:p w14:paraId="26E440EC">
      <w:pPr>
        <w:pStyle w:val="2"/>
        <w:numPr>
          <w:ilvl w:val="0"/>
          <w:numId w:val="0"/>
        </w:numPr>
        <w:spacing w:before="0" w:after="0" w:line="360" w:lineRule="auto"/>
        <w:ind w:leftChars="0"/>
        <w:jc w:val="center"/>
        <w:rPr>
          <w:rFonts w:hint="eastAsia" w:asciiTheme="majorEastAsia" w:hAnsiTheme="majorEastAsia" w:eastAsiaTheme="majorEastAsia" w:cstheme="majorEastAsia"/>
          <w:color w:val="auto"/>
          <w:kern w:val="0"/>
          <w:highlight w:val="none"/>
          <w:lang w:val="en-US" w:eastAsia="zh-CN"/>
        </w:rPr>
      </w:pPr>
      <w:bookmarkStart w:id="224" w:name="_Toc57820636"/>
      <w:bookmarkStart w:id="225" w:name="_Toc32401"/>
      <w:bookmarkStart w:id="226" w:name="_Toc430530509"/>
      <w:bookmarkStart w:id="227" w:name="_Toc12914"/>
      <w:bookmarkStart w:id="228" w:name="_Toc509218785"/>
    </w:p>
    <w:p w14:paraId="3B388336">
      <w:pPr>
        <w:pStyle w:val="2"/>
        <w:numPr>
          <w:ilvl w:val="0"/>
          <w:numId w:val="0"/>
        </w:numPr>
        <w:spacing w:before="0" w:after="0" w:line="360" w:lineRule="auto"/>
        <w:ind w:leftChars="0"/>
        <w:jc w:val="center"/>
        <w:rPr>
          <w:rFonts w:hint="eastAsia" w:asciiTheme="majorEastAsia" w:hAnsiTheme="majorEastAsia" w:eastAsiaTheme="majorEastAsia" w:cstheme="majorEastAsia"/>
          <w:color w:val="auto"/>
          <w:kern w:val="0"/>
          <w:highlight w:val="none"/>
          <w:lang w:val="en-US" w:eastAsia="zh-CN"/>
        </w:rPr>
      </w:pPr>
    </w:p>
    <w:p w14:paraId="47811BCE">
      <w:pPr>
        <w:pStyle w:val="2"/>
        <w:numPr>
          <w:ilvl w:val="0"/>
          <w:numId w:val="0"/>
        </w:numPr>
        <w:spacing w:before="0" w:after="0" w:line="360" w:lineRule="auto"/>
        <w:ind w:leftChars="0"/>
        <w:jc w:val="center"/>
        <w:rPr>
          <w:rFonts w:hint="eastAsia" w:asciiTheme="majorEastAsia" w:hAnsiTheme="majorEastAsia" w:eastAsiaTheme="majorEastAsia" w:cstheme="majorEastAsia"/>
          <w:color w:val="auto"/>
          <w:kern w:val="0"/>
          <w:highlight w:val="none"/>
          <w:lang w:val="en-US" w:eastAsia="zh-CN"/>
        </w:rPr>
      </w:pPr>
    </w:p>
    <w:p w14:paraId="0E0A9142">
      <w:pPr>
        <w:pStyle w:val="2"/>
        <w:numPr>
          <w:ilvl w:val="0"/>
          <w:numId w:val="0"/>
        </w:numPr>
        <w:spacing w:before="0" w:after="0" w:line="360" w:lineRule="auto"/>
        <w:ind w:leftChars="0"/>
        <w:jc w:val="center"/>
        <w:rPr>
          <w:rFonts w:hint="eastAsia" w:asciiTheme="majorEastAsia" w:hAnsiTheme="majorEastAsia" w:eastAsiaTheme="majorEastAsia" w:cstheme="majorEastAsia"/>
          <w:color w:val="auto"/>
          <w:kern w:val="0"/>
          <w:highlight w:val="none"/>
          <w:lang w:val="en-US" w:eastAsia="zh-CN"/>
        </w:rPr>
      </w:pPr>
    </w:p>
    <w:p w14:paraId="081E5048">
      <w:pPr>
        <w:pStyle w:val="2"/>
        <w:numPr>
          <w:ilvl w:val="0"/>
          <w:numId w:val="0"/>
        </w:numPr>
        <w:spacing w:before="0" w:after="0" w:line="360" w:lineRule="auto"/>
        <w:ind w:leftChars="0"/>
        <w:jc w:val="center"/>
        <w:rPr>
          <w:rFonts w:hint="eastAsia" w:asciiTheme="majorEastAsia" w:hAnsiTheme="majorEastAsia" w:eastAsiaTheme="majorEastAsia" w:cstheme="majorEastAsia"/>
          <w:color w:val="auto"/>
          <w:kern w:val="0"/>
          <w:highlight w:val="none"/>
          <w:lang w:val="en-US" w:eastAsia="zh-CN"/>
        </w:rPr>
      </w:pPr>
    </w:p>
    <w:p w14:paraId="6C6B1A95">
      <w:pPr>
        <w:pStyle w:val="2"/>
        <w:numPr>
          <w:ilvl w:val="0"/>
          <w:numId w:val="0"/>
        </w:numPr>
        <w:spacing w:before="0" w:after="0" w:line="360" w:lineRule="auto"/>
        <w:ind w:leftChars="0"/>
        <w:jc w:val="center"/>
        <w:rPr>
          <w:rFonts w:hint="eastAsia" w:ascii="方正黑体_GBK" w:hAnsi="方正黑体_GBK" w:eastAsia="方正黑体_GBK" w:cs="方正黑体_GBK"/>
          <w:color w:val="auto"/>
          <w:kern w:val="0"/>
          <w:highlight w:val="none"/>
        </w:rPr>
      </w:pPr>
      <w:r>
        <w:rPr>
          <w:rFonts w:hint="eastAsia" w:ascii="方正黑体_GBK" w:hAnsi="方正黑体_GBK" w:eastAsia="方正黑体_GBK" w:cs="方正黑体_GBK"/>
          <w:color w:val="auto"/>
          <w:kern w:val="0"/>
          <w:highlight w:val="none"/>
          <w:lang w:val="en-US" w:eastAsia="zh-CN"/>
        </w:rPr>
        <w:t>第四章</w:t>
      </w:r>
      <w:r>
        <w:rPr>
          <w:rFonts w:hint="eastAsia" w:ascii="方正黑体_GBK" w:hAnsi="方正黑体_GBK" w:eastAsia="方正黑体_GBK" w:cs="方正黑体_GBK"/>
          <w:color w:val="auto"/>
          <w:kern w:val="0"/>
          <w:highlight w:val="none"/>
        </w:rPr>
        <w:t xml:space="preserve"> 合同条款及格式</w:t>
      </w:r>
      <w:bookmarkEnd w:id="224"/>
      <w:bookmarkEnd w:id="225"/>
      <w:bookmarkEnd w:id="226"/>
      <w:bookmarkEnd w:id="227"/>
      <w:bookmarkEnd w:id="228"/>
    </w:p>
    <w:p w14:paraId="4C8AB9EC">
      <w:pPr>
        <w:pStyle w:val="6"/>
        <w:rPr>
          <w:color w:val="auto"/>
        </w:rPr>
      </w:pPr>
    </w:p>
    <w:p w14:paraId="0EB1C86C">
      <w:pPr>
        <w:rPr>
          <w:color w:val="auto"/>
        </w:rPr>
      </w:pPr>
    </w:p>
    <w:p w14:paraId="763D6207">
      <w:pPr>
        <w:pStyle w:val="6"/>
        <w:rPr>
          <w:color w:val="auto"/>
        </w:rPr>
      </w:pPr>
    </w:p>
    <w:p w14:paraId="236B2425">
      <w:pPr>
        <w:rPr>
          <w:color w:val="auto"/>
        </w:rPr>
      </w:pPr>
    </w:p>
    <w:p w14:paraId="51100D38">
      <w:pPr>
        <w:pStyle w:val="6"/>
        <w:rPr>
          <w:color w:val="auto"/>
        </w:rPr>
      </w:pPr>
    </w:p>
    <w:p w14:paraId="290F1F66">
      <w:pPr>
        <w:pStyle w:val="6"/>
        <w:rPr>
          <w:color w:val="auto"/>
        </w:rPr>
      </w:pPr>
    </w:p>
    <w:p w14:paraId="5A8F2B64">
      <w:pPr>
        <w:pStyle w:val="6"/>
        <w:rPr>
          <w:color w:val="auto"/>
        </w:rPr>
      </w:pPr>
    </w:p>
    <w:p w14:paraId="28FA04A2">
      <w:pPr>
        <w:pStyle w:val="6"/>
        <w:rPr>
          <w:color w:val="auto"/>
        </w:rPr>
      </w:pPr>
    </w:p>
    <w:p w14:paraId="08343854">
      <w:pPr>
        <w:pStyle w:val="6"/>
        <w:rPr>
          <w:color w:val="auto"/>
        </w:rPr>
      </w:pPr>
    </w:p>
    <w:p w14:paraId="4122A977">
      <w:pPr>
        <w:pStyle w:val="6"/>
        <w:rPr>
          <w:color w:val="auto"/>
        </w:rPr>
      </w:pPr>
    </w:p>
    <w:p w14:paraId="6C0709E6">
      <w:pPr>
        <w:pStyle w:val="6"/>
        <w:rPr>
          <w:color w:val="auto"/>
        </w:rPr>
      </w:pPr>
    </w:p>
    <w:p w14:paraId="2A90C0A3">
      <w:pPr>
        <w:pStyle w:val="6"/>
        <w:rPr>
          <w:color w:val="auto"/>
        </w:rPr>
      </w:pPr>
    </w:p>
    <w:p w14:paraId="36C608C0">
      <w:pPr>
        <w:pStyle w:val="6"/>
        <w:rPr>
          <w:color w:val="auto"/>
        </w:rPr>
      </w:pPr>
    </w:p>
    <w:p w14:paraId="58E5D452">
      <w:pPr>
        <w:pStyle w:val="6"/>
        <w:rPr>
          <w:color w:val="auto"/>
        </w:rPr>
      </w:pPr>
    </w:p>
    <w:p w14:paraId="71ACF1FC">
      <w:pPr>
        <w:pStyle w:val="6"/>
        <w:rPr>
          <w:color w:val="auto"/>
        </w:rPr>
      </w:pPr>
    </w:p>
    <w:p w14:paraId="4599EDE2">
      <w:pPr>
        <w:pStyle w:val="6"/>
        <w:rPr>
          <w:color w:val="auto"/>
        </w:rPr>
      </w:pPr>
    </w:p>
    <w:p w14:paraId="0CD765D9">
      <w:pPr>
        <w:pStyle w:val="6"/>
        <w:rPr>
          <w:color w:val="auto"/>
        </w:rPr>
      </w:pPr>
    </w:p>
    <w:p w14:paraId="26925A7C">
      <w:pPr>
        <w:pStyle w:val="6"/>
        <w:rPr>
          <w:color w:val="auto"/>
        </w:rPr>
      </w:pPr>
    </w:p>
    <w:p w14:paraId="0D570C91">
      <w:pPr>
        <w:pStyle w:val="6"/>
        <w:rPr>
          <w:color w:val="auto"/>
        </w:rPr>
      </w:pPr>
    </w:p>
    <w:p w14:paraId="7068856E">
      <w:pPr>
        <w:pStyle w:val="6"/>
        <w:rPr>
          <w:color w:val="auto"/>
        </w:rPr>
      </w:pPr>
    </w:p>
    <w:p w14:paraId="37E995EB">
      <w:pPr>
        <w:pStyle w:val="6"/>
        <w:rPr>
          <w:color w:val="auto"/>
        </w:rPr>
      </w:pPr>
    </w:p>
    <w:p w14:paraId="6A91BBFD">
      <w:pPr>
        <w:pStyle w:val="6"/>
        <w:rPr>
          <w:color w:val="auto"/>
        </w:rPr>
      </w:pPr>
    </w:p>
    <w:p w14:paraId="22D49758">
      <w:pPr>
        <w:pStyle w:val="6"/>
        <w:rPr>
          <w:color w:val="auto"/>
        </w:rPr>
      </w:pPr>
    </w:p>
    <w:p w14:paraId="42E05EE7">
      <w:pPr>
        <w:pStyle w:val="6"/>
        <w:rPr>
          <w:color w:val="auto"/>
        </w:rPr>
      </w:pPr>
    </w:p>
    <w:p w14:paraId="0C489E6A">
      <w:pPr>
        <w:pStyle w:val="6"/>
        <w:rPr>
          <w:color w:val="auto"/>
        </w:rPr>
      </w:pPr>
    </w:p>
    <w:p w14:paraId="0339C27A">
      <w:pPr>
        <w:spacing w:before="159" w:line="222" w:lineRule="auto"/>
        <w:ind w:right="105"/>
        <w:jc w:val="both"/>
        <w:outlineLvl w:val="1"/>
        <w:rPr>
          <w:rFonts w:hint="eastAsia" w:ascii="方正黑体_GBK" w:hAnsi="方正黑体_GBK" w:eastAsia="方正黑体_GBK" w:cs="方正黑体_GBK"/>
          <w:b w:val="0"/>
          <w:bCs w:val="0"/>
          <w:color w:val="2B4753"/>
          <w:spacing w:val="22"/>
          <w:sz w:val="48"/>
          <w:szCs w:val="48"/>
          <w:lang w:eastAsia="zh-CN"/>
        </w:rPr>
      </w:pPr>
    </w:p>
    <w:p w14:paraId="0DBC7FC8">
      <w:pPr>
        <w:spacing w:before="159" w:line="222" w:lineRule="auto"/>
        <w:ind w:left="105" w:right="105"/>
        <w:jc w:val="center"/>
        <w:outlineLvl w:val="1"/>
        <w:rPr>
          <w:rFonts w:hint="eastAsia" w:ascii="方正黑体_GBK" w:hAnsi="方正黑体_GBK" w:eastAsia="方正黑体_GBK" w:cs="方正黑体_GBK"/>
          <w:b w:val="0"/>
          <w:bCs w:val="0"/>
          <w:color w:val="2B4753"/>
          <w:spacing w:val="22"/>
          <w:sz w:val="48"/>
          <w:szCs w:val="48"/>
          <w:lang w:eastAsia="zh-CN"/>
        </w:rPr>
      </w:pPr>
    </w:p>
    <w:p w14:paraId="76582FB1">
      <w:pPr>
        <w:widowControl w:val="0"/>
        <w:kinsoku/>
        <w:autoSpaceDE/>
        <w:autoSpaceDN/>
        <w:adjustRightInd/>
        <w:snapToGrid/>
        <w:spacing w:before="159" w:line="222" w:lineRule="auto"/>
        <w:ind w:left="105" w:leftChars="50" w:right="105" w:rightChars="50"/>
        <w:jc w:val="center"/>
        <w:textAlignment w:val="auto"/>
        <w:outlineLvl w:val="1"/>
        <w:rPr>
          <w:rFonts w:hint="eastAsia" w:ascii="方正黑体_GBK" w:hAnsi="方正黑体_GBK" w:eastAsia="方正黑体_GBK" w:cs="仿宋"/>
          <w:b/>
          <w:bCs/>
          <w:snapToGrid/>
          <w:color w:val="2B4753"/>
          <w:spacing w:val="22"/>
          <w:kern w:val="2"/>
          <w:sz w:val="52"/>
          <w:szCs w:val="49"/>
          <w:highlight w:val="none"/>
          <w:lang w:val="en-US" w:eastAsia="zh-CN" w:bidi="ar-SA"/>
        </w:rPr>
      </w:pPr>
      <w:r>
        <w:rPr>
          <w:rFonts w:hint="eastAsia" w:ascii="方正黑体_GBK" w:hAnsi="方正黑体_GBK" w:eastAsia="方正黑体_GBK" w:cs="仿宋"/>
          <w:b/>
          <w:bCs/>
          <w:snapToGrid/>
          <w:color w:val="2B4753"/>
          <w:spacing w:val="22"/>
          <w:kern w:val="2"/>
          <w:sz w:val="52"/>
          <w:szCs w:val="49"/>
          <w:highlight w:val="none"/>
          <w:lang w:val="en-US" w:eastAsia="zh-CN" w:bidi="ar-SA"/>
        </w:rPr>
        <w:t>重庆环保投资集团有限公司</w:t>
      </w:r>
    </w:p>
    <w:p w14:paraId="2E90DB8A">
      <w:pPr>
        <w:widowControl w:val="0"/>
        <w:kinsoku/>
        <w:autoSpaceDE/>
        <w:autoSpaceDN/>
        <w:adjustRightInd/>
        <w:snapToGrid/>
        <w:spacing w:before="159" w:line="222" w:lineRule="auto"/>
        <w:ind w:left="105" w:leftChars="50" w:right="105" w:rightChars="50"/>
        <w:jc w:val="center"/>
        <w:textAlignment w:val="auto"/>
        <w:outlineLvl w:val="1"/>
        <w:rPr>
          <w:rFonts w:hint="eastAsia" w:ascii="方正黑体_GBK" w:hAnsi="方正黑体_GBK" w:eastAsia="方正黑体_GBK" w:cs="仿宋"/>
          <w:b/>
          <w:bCs/>
          <w:snapToGrid/>
          <w:color w:val="2B4753"/>
          <w:spacing w:val="22"/>
          <w:kern w:val="2"/>
          <w:sz w:val="52"/>
          <w:szCs w:val="49"/>
          <w:highlight w:val="none"/>
          <w:lang w:val="en-US" w:eastAsia="zh-CN" w:bidi="ar-SA"/>
        </w:rPr>
      </w:pPr>
      <w:r>
        <w:rPr>
          <w:rFonts w:hint="eastAsia" w:ascii="方正黑体_GBK" w:hAnsi="方正黑体_GBK" w:eastAsia="方正黑体_GBK" w:cs="仿宋"/>
          <w:b/>
          <w:bCs/>
          <w:snapToGrid/>
          <w:color w:val="2B4753"/>
          <w:spacing w:val="22"/>
          <w:kern w:val="2"/>
          <w:sz w:val="52"/>
          <w:szCs w:val="49"/>
          <w:highlight w:val="none"/>
          <w:lang w:val="en-US" w:eastAsia="zh-CN" w:bidi="ar-SA"/>
        </w:rPr>
        <w:t>设备采购服务合同</w:t>
      </w:r>
    </w:p>
    <w:p w14:paraId="39072BD9">
      <w:pPr>
        <w:spacing w:before="159" w:line="222" w:lineRule="auto"/>
        <w:ind w:left="105" w:right="105"/>
        <w:jc w:val="center"/>
        <w:outlineLvl w:val="1"/>
        <w:rPr>
          <w:rFonts w:hint="eastAsia" w:ascii="方正黑体_GBK" w:hAnsi="方正黑体_GBK" w:eastAsia="方正黑体_GBK" w:cs="方正黑体_GBK"/>
          <w:sz w:val="44"/>
          <w:szCs w:val="48"/>
          <w:lang w:eastAsia="zh-CN"/>
        </w:rPr>
      </w:pPr>
    </w:p>
    <w:p w14:paraId="018BE314">
      <w:pPr>
        <w:spacing w:before="159" w:line="222" w:lineRule="auto"/>
        <w:ind w:left="105" w:right="105"/>
        <w:jc w:val="center"/>
        <w:outlineLvl w:val="1"/>
        <w:rPr>
          <w:rFonts w:hint="eastAsia" w:ascii="方正黑体_GBK" w:hAnsi="方正黑体_GBK" w:eastAsia="方正黑体_GBK" w:cs="方正黑体_GBK"/>
          <w:sz w:val="44"/>
          <w:szCs w:val="48"/>
          <w:lang w:eastAsia="zh-CN"/>
        </w:rPr>
      </w:pPr>
    </w:p>
    <w:tbl>
      <w:tblPr>
        <w:tblStyle w:val="16"/>
        <w:tblW w:w="9067" w:type="dxa"/>
        <w:tblInd w:w="-2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41"/>
        <w:gridCol w:w="7326"/>
      </w:tblGrid>
      <w:tr w14:paraId="45B2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atLeast"/>
        </w:trPr>
        <w:tc>
          <w:tcPr>
            <w:tcW w:w="1741" w:type="dxa"/>
            <w:vAlign w:val="center"/>
          </w:tcPr>
          <w:p w14:paraId="268184B3">
            <w:pPr>
              <w:widowControl w:val="0"/>
              <w:ind w:left="105" w:right="105"/>
              <w:jc w:val="center"/>
              <w:rPr>
                <w:rFonts w:ascii="方正仿宋_GBK" w:hAnsi="方正仿宋_GBK" w:eastAsia="方正仿宋_GBK"/>
                <w:sz w:val="28"/>
                <w:szCs w:val="48"/>
              </w:rPr>
            </w:pPr>
            <w:r>
              <w:rPr>
                <w:rFonts w:hint="eastAsia" w:ascii="方正仿宋_GBK" w:hAnsi="方正仿宋_GBK" w:eastAsia="方正仿宋_GBK"/>
                <w:sz w:val="28"/>
                <w:szCs w:val="48"/>
              </w:rPr>
              <w:t>合同名称：</w:t>
            </w:r>
          </w:p>
        </w:tc>
        <w:tc>
          <w:tcPr>
            <w:tcW w:w="7326" w:type="dxa"/>
            <w:tcBorders>
              <w:bottom w:val="single" w:color="auto" w:sz="4" w:space="0"/>
            </w:tcBorders>
            <w:vAlign w:val="center"/>
          </w:tcPr>
          <w:p w14:paraId="04D6298C">
            <w:pPr>
              <w:widowControl w:val="0"/>
              <w:ind w:left="105" w:right="105"/>
              <w:jc w:val="center"/>
              <w:rPr>
                <w:rFonts w:hint="default" w:ascii="方正仿宋_GBK" w:hAnsi="方正仿宋_GBK" w:eastAsia="宋体"/>
                <w:color w:val="FF0000"/>
                <w:sz w:val="28"/>
                <w:szCs w:val="48"/>
                <w:lang w:val="en-US" w:eastAsia="zh-CN"/>
              </w:rPr>
            </w:pPr>
            <w:r>
              <w:rPr>
                <w:rFonts w:hint="eastAsia" w:ascii="方正仿宋_GBK" w:hAnsi="方正仿宋_GBK" w:eastAsia="方正仿宋_GBK"/>
                <w:sz w:val="28"/>
                <w:szCs w:val="48"/>
                <w:lang w:val="en-US" w:eastAsia="zh-CN"/>
              </w:rPr>
              <w:t>2026年渝东南分公司（第一批）设备采购</w:t>
            </w:r>
          </w:p>
        </w:tc>
      </w:tr>
      <w:tr w14:paraId="65296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1741" w:type="dxa"/>
            <w:vAlign w:val="center"/>
          </w:tcPr>
          <w:p w14:paraId="234FB871">
            <w:pPr>
              <w:widowControl w:val="0"/>
              <w:ind w:left="105" w:right="105"/>
              <w:jc w:val="center"/>
              <w:rPr>
                <w:rFonts w:ascii="方正仿宋_GBK" w:hAnsi="方正仿宋_GBK" w:eastAsia="方正仿宋_GBK"/>
                <w:sz w:val="28"/>
                <w:szCs w:val="48"/>
              </w:rPr>
            </w:pPr>
            <w:r>
              <w:rPr>
                <w:rFonts w:hint="eastAsia" w:ascii="方正仿宋_GBK" w:hAnsi="方正仿宋_GBK" w:eastAsia="方正仿宋_GBK"/>
                <w:sz w:val="28"/>
                <w:szCs w:val="48"/>
              </w:rPr>
              <w:t>合同编号：</w:t>
            </w:r>
          </w:p>
        </w:tc>
        <w:tc>
          <w:tcPr>
            <w:tcW w:w="7326" w:type="dxa"/>
            <w:tcBorders>
              <w:top w:val="single" w:color="auto" w:sz="4" w:space="0"/>
              <w:bottom w:val="single" w:color="auto" w:sz="4" w:space="0"/>
            </w:tcBorders>
            <w:vAlign w:val="center"/>
          </w:tcPr>
          <w:p w14:paraId="30C9F83C">
            <w:pPr>
              <w:widowControl w:val="0"/>
              <w:ind w:left="105" w:right="105"/>
              <w:jc w:val="center"/>
              <w:rPr>
                <w:rFonts w:ascii="方正仿宋_GBK" w:hAnsi="方正仿宋_GBK" w:eastAsia="方正仿宋_GBK"/>
                <w:sz w:val="28"/>
                <w:szCs w:val="48"/>
              </w:rPr>
            </w:pPr>
          </w:p>
        </w:tc>
      </w:tr>
      <w:tr w14:paraId="64733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4" w:hRule="atLeast"/>
        </w:trPr>
        <w:tc>
          <w:tcPr>
            <w:tcW w:w="1741" w:type="dxa"/>
            <w:vAlign w:val="center"/>
          </w:tcPr>
          <w:p w14:paraId="248E99F9">
            <w:pPr>
              <w:widowControl w:val="0"/>
              <w:ind w:left="105" w:right="105"/>
              <w:jc w:val="center"/>
              <w:rPr>
                <w:rFonts w:ascii="方正仿宋_GBK" w:hAnsi="方正仿宋_GBK" w:eastAsia="方正仿宋_GBK"/>
                <w:sz w:val="28"/>
                <w:szCs w:val="48"/>
              </w:rPr>
            </w:pPr>
            <w:r>
              <w:rPr>
                <w:rFonts w:hint="eastAsia" w:ascii="方正仿宋_GBK" w:hAnsi="方正仿宋_GBK" w:eastAsia="方正仿宋_GBK"/>
                <w:sz w:val="28"/>
                <w:szCs w:val="48"/>
              </w:rPr>
              <w:t>合同甲方：</w:t>
            </w:r>
          </w:p>
        </w:tc>
        <w:tc>
          <w:tcPr>
            <w:tcW w:w="7326" w:type="dxa"/>
            <w:tcBorders>
              <w:top w:val="single" w:color="auto" w:sz="4" w:space="0"/>
              <w:bottom w:val="single" w:color="auto" w:sz="4" w:space="0"/>
            </w:tcBorders>
            <w:vAlign w:val="center"/>
          </w:tcPr>
          <w:p w14:paraId="2E554EA0">
            <w:pPr>
              <w:widowControl w:val="0"/>
              <w:ind w:left="105" w:right="105"/>
              <w:jc w:val="center"/>
              <w:rPr>
                <w:rFonts w:hint="eastAsia" w:ascii="方正仿宋_GBK" w:hAnsi="方正仿宋_GBK" w:eastAsia="方正仿宋_GBK"/>
                <w:sz w:val="28"/>
                <w:szCs w:val="48"/>
                <w:lang w:eastAsia="zh-CN"/>
              </w:rPr>
            </w:pPr>
            <w:r>
              <w:rPr>
                <w:rFonts w:hint="eastAsia" w:ascii="方正仿宋_GBK" w:hAnsi="方正仿宋_GBK" w:eastAsia="方正仿宋_GBK"/>
                <w:sz w:val="28"/>
                <w:szCs w:val="48"/>
                <w:lang w:eastAsia="zh-CN"/>
              </w:rPr>
              <w:t>重庆环保投资集团有限公司</w:t>
            </w:r>
          </w:p>
        </w:tc>
      </w:tr>
      <w:tr w14:paraId="57A76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1741" w:type="dxa"/>
            <w:vAlign w:val="center"/>
          </w:tcPr>
          <w:p w14:paraId="6B76EC61">
            <w:pPr>
              <w:widowControl w:val="0"/>
              <w:ind w:left="105" w:right="105"/>
              <w:jc w:val="center"/>
              <w:rPr>
                <w:rFonts w:ascii="方正仿宋_GBK" w:hAnsi="方正仿宋_GBK" w:eastAsia="方正仿宋_GBK"/>
                <w:sz w:val="28"/>
                <w:szCs w:val="48"/>
              </w:rPr>
            </w:pPr>
            <w:r>
              <w:rPr>
                <w:rFonts w:hint="eastAsia" w:ascii="方正仿宋_GBK" w:hAnsi="方正仿宋_GBK" w:eastAsia="方正仿宋_GBK"/>
                <w:sz w:val="28"/>
                <w:szCs w:val="48"/>
              </w:rPr>
              <w:t>合同乙方：</w:t>
            </w:r>
          </w:p>
        </w:tc>
        <w:tc>
          <w:tcPr>
            <w:tcW w:w="7326" w:type="dxa"/>
            <w:tcBorders>
              <w:top w:val="single" w:color="auto" w:sz="4" w:space="0"/>
              <w:bottom w:val="single" w:color="auto" w:sz="4" w:space="0"/>
            </w:tcBorders>
            <w:vAlign w:val="center"/>
          </w:tcPr>
          <w:p w14:paraId="6490B995">
            <w:pPr>
              <w:widowControl w:val="0"/>
              <w:ind w:left="105" w:right="105"/>
              <w:jc w:val="center"/>
              <w:rPr>
                <w:rFonts w:hint="eastAsia" w:ascii="方正仿宋_GBK" w:hAnsi="方正仿宋_GBK" w:eastAsia="方正仿宋_GBK"/>
                <w:sz w:val="28"/>
                <w:szCs w:val="48"/>
                <w:lang w:eastAsia="zh-CN"/>
              </w:rPr>
            </w:pPr>
          </w:p>
        </w:tc>
      </w:tr>
      <w:tr w14:paraId="631E8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1" w:hRule="atLeast"/>
        </w:trPr>
        <w:tc>
          <w:tcPr>
            <w:tcW w:w="1741" w:type="dxa"/>
            <w:vAlign w:val="center"/>
          </w:tcPr>
          <w:p w14:paraId="7A35E8DC">
            <w:pPr>
              <w:widowControl w:val="0"/>
              <w:ind w:left="105" w:right="105"/>
              <w:jc w:val="center"/>
              <w:rPr>
                <w:rFonts w:ascii="方正仿宋_GBK" w:hAnsi="方正仿宋_GBK" w:eastAsia="方正仿宋_GBK"/>
                <w:sz w:val="28"/>
                <w:szCs w:val="48"/>
              </w:rPr>
            </w:pPr>
            <w:r>
              <w:rPr>
                <w:rFonts w:hint="eastAsia" w:ascii="方正仿宋_GBK" w:hAnsi="方正仿宋_GBK" w:eastAsia="方正仿宋_GBK"/>
                <w:sz w:val="28"/>
                <w:szCs w:val="48"/>
              </w:rPr>
              <w:t>签订地点：</w:t>
            </w:r>
          </w:p>
        </w:tc>
        <w:tc>
          <w:tcPr>
            <w:tcW w:w="7326" w:type="dxa"/>
            <w:tcBorders>
              <w:top w:val="single" w:color="auto" w:sz="4" w:space="0"/>
              <w:bottom w:val="single" w:color="auto" w:sz="4" w:space="0"/>
            </w:tcBorders>
            <w:vAlign w:val="center"/>
          </w:tcPr>
          <w:p w14:paraId="5C0D8D62">
            <w:pPr>
              <w:widowControl w:val="0"/>
              <w:ind w:left="105" w:right="105"/>
              <w:jc w:val="center"/>
              <w:rPr>
                <w:rFonts w:hint="default" w:ascii="方正仿宋_GBK" w:hAnsi="方正仿宋_GBK" w:eastAsia="方正仿宋_GBK"/>
                <w:sz w:val="28"/>
                <w:szCs w:val="48"/>
                <w:lang w:val="en-US" w:eastAsia="zh-CN"/>
              </w:rPr>
            </w:pPr>
            <w:r>
              <w:rPr>
                <w:rFonts w:hint="eastAsia" w:ascii="方正仿宋_GBK" w:hAnsi="方正仿宋_GBK" w:eastAsia="方正仿宋_GBK"/>
                <w:sz w:val="28"/>
                <w:szCs w:val="48"/>
                <w:lang w:eastAsia="zh-CN"/>
              </w:rPr>
              <w:t>重庆·</w:t>
            </w:r>
            <w:r>
              <w:rPr>
                <w:rFonts w:hint="eastAsia" w:ascii="方正仿宋_GBK" w:hAnsi="方正仿宋_GBK" w:eastAsia="方正仿宋_GBK"/>
                <w:sz w:val="28"/>
                <w:szCs w:val="48"/>
                <w:lang w:val="en-US" w:eastAsia="zh-CN"/>
              </w:rPr>
              <w:t>黔江</w:t>
            </w:r>
          </w:p>
        </w:tc>
      </w:tr>
      <w:tr w14:paraId="7A55E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1" w:hRule="atLeast"/>
        </w:trPr>
        <w:tc>
          <w:tcPr>
            <w:tcW w:w="1741" w:type="dxa"/>
            <w:vAlign w:val="center"/>
          </w:tcPr>
          <w:p w14:paraId="1A0E8622">
            <w:pPr>
              <w:widowControl w:val="0"/>
              <w:ind w:left="105" w:right="105"/>
              <w:jc w:val="center"/>
              <w:rPr>
                <w:rFonts w:ascii="方正仿宋_GBK" w:hAnsi="方正仿宋_GBK" w:eastAsia="方正仿宋_GBK"/>
                <w:sz w:val="28"/>
                <w:szCs w:val="48"/>
              </w:rPr>
            </w:pPr>
            <w:r>
              <w:rPr>
                <w:rFonts w:hint="eastAsia" w:ascii="方正仿宋_GBK" w:hAnsi="方正仿宋_GBK" w:eastAsia="方正仿宋_GBK"/>
                <w:sz w:val="28"/>
                <w:szCs w:val="48"/>
              </w:rPr>
              <w:t>签订时间：</w:t>
            </w:r>
          </w:p>
        </w:tc>
        <w:tc>
          <w:tcPr>
            <w:tcW w:w="7326" w:type="dxa"/>
            <w:tcBorders>
              <w:top w:val="single" w:color="auto" w:sz="4" w:space="0"/>
              <w:bottom w:val="single" w:color="auto" w:sz="4" w:space="0"/>
            </w:tcBorders>
            <w:vAlign w:val="center"/>
          </w:tcPr>
          <w:p w14:paraId="053FFB91">
            <w:pPr>
              <w:widowControl w:val="0"/>
              <w:ind w:left="105" w:right="105"/>
              <w:jc w:val="center"/>
              <w:rPr>
                <w:rFonts w:hint="default" w:ascii="方正仿宋_GBK" w:hAnsi="方正仿宋_GBK" w:eastAsia="方正仿宋_GBK"/>
                <w:sz w:val="28"/>
                <w:szCs w:val="48"/>
                <w:lang w:val="en-US" w:eastAsia="zh-CN"/>
              </w:rPr>
            </w:pPr>
            <w:r>
              <w:rPr>
                <w:rFonts w:hint="eastAsia" w:ascii="方正仿宋_GBK" w:hAnsi="方正仿宋_GBK" w:eastAsia="方正仿宋_GBK"/>
                <w:sz w:val="28"/>
                <w:szCs w:val="48"/>
                <w:lang w:val="en-US" w:eastAsia="zh-CN"/>
              </w:rPr>
              <w:t xml:space="preserve">  年    月   日</w:t>
            </w:r>
          </w:p>
        </w:tc>
      </w:tr>
    </w:tbl>
    <w:p w14:paraId="5B58D08A">
      <w:pPr>
        <w:rPr>
          <w:color w:val="auto"/>
        </w:rPr>
      </w:pPr>
    </w:p>
    <w:p w14:paraId="3B1E4929">
      <w:pPr>
        <w:pStyle w:val="6"/>
        <w:rPr>
          <w:color w:val="auto"/>
        </w:rPr>
      </w:pPr>
    </w:p>
    <w:p w14:paraId="1CA8BA8C">
      <w:pPr>
        <w:rPr>
          <w:color w:val="auto"/>
        </w:rPr>
      </w:pPr>
    </w:p>
    <w:p w14:paraId="05BC40E3">
      <w:pPr>
        <w:pStyle w:val="6"/>
        <w:rPr>
          <w:color w:val="auto"/>
        </w:rPr>
      </w:pPr>
    </w:p>
    <w:p w14:paraId="7650CF21">
      <w:pPr>
        <w:rPr>
          <w:color w:val="auto"/>
        </w:rPr>
      </w:pPr>
    </w:p>
    <w:p w14:paraId="7732276A">
      <w:pPr>
        <w:pStyle w:val="6"/>
        <w:rPr>
          <w:color w:val="auto"/>
        </w:rPr>
      </w:pPr>
    </w:p>
    <w:p w14:paraId="646C638B">
      <w:pPr>
        <w:rPr>
          <w:color w:val="auto"/>
        </w:rPr>
      </w:pPr>
    </w:p>
    <w:p w14:paraId="2E48F15C">
      <w:pPr>
        <w:pStyle w:val="6"/>
        <w:rPr>
          <w:color w:val="auto"/>
        </w:rPr>
      </w:pPr>
    </w:p>
    <w:p w14:paraId="6DDEE498">
      <w:pPr>
        <w:widowControl w:val="0"/>
        <w:kinsoku/>
        <w:topLinePunct/>
        <w:autoSpaceDE/>
        <w:autoSpaceDN/>
        <w:adjustRightInd/>
        <w:snapToGrid w:val="0"/>
        <w:spacing w:line="240" w:lineRule="auto"/>
        <w:ind w:left="105" w:leftChars="50" w:right="105" w:rightChars="50"/>
        <w:contextualSpacing/>
        <w:jc w:val="both"/>
        <w:textAlignment w:val="auto"/>
        <w:rPr>
          <w:rFonts w:hint="eastAsia" w:ascii="仿宋" w:hAnsi="仿宋" w:eastAsia="仿宋" w:cs="仿宋"/>
          <w:snapToGrid/>
          <w:kern w:val="2"/>
          <w:sz w:val="24"/>
          <w:szCs w:val="24"/>
          <w:highlight w:val="none"/>
          <w:lang w:val="en-US" w:eastAsia="zh-CN" w:bidi="ar-SA"/>
        </w:rPr>
      </w:pPr>
    </w:p>
    <w:p w14:paraId="4713BAB2">
      <w:pPr>
        <w:keepNext w:val="0"/>
        <w:keepLines w:val="0"/>
        <w:pageBreakBefore w:val="0"/>
        <w:widowControl w:val="0"/>
        <w:kinsoku/>
        <w:wordWrap/>
        <w:overflowPunct/>
        <w:topLinePunct/>
        <w:autoSpaceDE/>
        <w:autoSpaceDN/>
        <w:bidi w:val="0"/>
        <w:adjustRightInd/>
        <w:snapToGrid w:val="0"/>
        <w:spacing w:line="240" w:lineRule="auto"/>
        <w:ind w:left="105" w:leftChars="50" w:right="105" w:rightChars="50"/>
        <w:contextualSpacing/>
        <w:jc w:val="both"/>
        <w:textAlignment w:val="auto"/>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甲方：重庆环保投资集团有限公司</w:t>
      </w:r>
    </w:p>
    <w:p w14:paraId="51F7A972">
      <w:pPr>
        <w:keepNext w:val="0"/>
        <w:keepLines w:val="0"/>
        <w:pageBreakBefore w:val="0"/>
        <w:tabs>
          <w:tab w:val="left" w:pos="4718"/>
        </w:tabs>
        <w:wordWrap/>
        <w:overflowPunct/>
        <w:bidi w:val="0"/>
        <w:snapToGrid w:val="0"/>
        <w:spacing w:line="240" w:lineRule="auto"/>
        <w:contextualSpacing/>
        <w:jc w:val="both"/>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公司地址：</w:t>
      </w:r>
      <w:r>
        <w:rPr>
          <w:rFonts w:hint="default" w:ascii="Times New Roman" w:hAnsi="Times New Roman" w:eastAsia="方正仿宋_GBK" w:cs="Times New Roman"/>
          <w:spacing w:val="-8"/>
          <w:position w:val="1"/>
          <w:sz w:val="24"/>
          <w:szCs w:val="24"/>
          <w:highlight w:val="none"/>
          <w:lang w:eastAsia="zh-CN"/>
        </w:rPr>
        <w:t>重庆市渝北区礼嘉街道礼环南路102号8号楼</w:t>
      </w:r>
    </w:p>
    <w:p w14:paraId="19C85B17">
      <w:pPr>
        <w:keepNext w:val="0"/>
        <w:keepLines w:val="0"/>
        <w:pageBreakBefore w:val="0"/>
        <w:widowControl w:val="0"/>
        <w:kinsoku/>
        <w:wordWrap/>
        <w:overflowPunct/>
        <w:topLinePunct/>
        <w:autoSpaceDE/>
        <w:autoSpaceDN/>
        <w:bidi w:val="0"/>
        <w:adjustRightInd/>
        <w:snapToGrid w:val="0"/>
        <w:spacing w:line="240" w:lineRule="auto"/>
        <w:ind w:left="105" w:leftChars="50" w:right="105" w:rightChars="50"/>
        <w:contextualSpacing/>
        <w:jc w:val="both"/>
        <w:textAlignment w:val="auto"/>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法定代表人：潘富宏</w:t>
      </w:r>
    </w:p>
    <w:p w14:paraId="14A8AF2B">
      <w:pPr>
        <w:keepNext w:val="0"/>
        <w:keepLines w:val="0"/>
        <w:pageBreakBefore w:val="0"/>
        <w:widowControl w:val="0"/>
        <w:kinsoku/>
        <w:wordWrap/>
        <w:overflowPunct/>
        <w:topLinePunct/>
        <w:autoSpaceDE/>
        <w:autoSpaceDN/>
        <w:bidi w:val="0"/>
        <w:adjustRightInd/>
        <w:snapToGrid w:val="0"/>
        <w:spacing w:line="240" w:lineRule="auto"/>
        <w:ind w:left="105" w:leftChars="50" w:right="105" w:rightChars="50"/>
        <w:contextualSpacing/>
        <w:jc w:val="both"/>
        <w:textAlignment w:val="auto"/>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统一社会信用代码：91500000339470140F</w:t>
      </w:r>
    </w:p>
    <w:p w14:paraId="7A5821A3">
      <w:pPr>
        <w:keepNext w:val="0"/>
        <w:keepLines w:val="0"/>
        <w:pageBreakBefore w:val="0"/>
        <w:widowControl w:val="0"/>
        <w:kinsoku/>
        <w:wordWrap/>
        <w:overflowPunct/>
        <w:topLinePunct/>
        <w:autoSpaceDE/>
        <w:autoSpaceDN/>
        <w:bidi w:val="0"/>
        <w:adjustRightInd/>
        <w:snapToGrid w:val="0"/>
        <w:spacing w:line="240" w:lineRule="auto"/>
        <w:ind w:left="105" w:leftChars="50" w:right="105" w:rightChars="50"/>
        <w:contextualSpacing/>
        <w:jc w:val="both"/>
        <w:textAlignment w:val="auto"/>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乙方：</w:t>
      </w:r>
    </w:p>
    <w:p w14:paraId="12AEB783">
      <w:pPr>
        <w:keepNext w:val="0"/>
        <w:keepLines w:val="0"/>
        <w:pageBreakBefore w:val="0"/>
        <w:widowControl w:val="0"/>
        <w:kinsoku/>
        <w:wordWrap/>
        <w:overflowPunct/>
        <w:topLinePunct/>
        <w:autoSpaceDE/>
        <w:autoSpaceDN/>
        <w:bidi w:val="0"/>
        <w:adjustRightInd/>
        <w:snapToGrid w:val="0"/>
        <w:spacing w:line="240" w:lineRule="auto"/>
        <w:ind w:left="105" w:leftChars="50" w:right="105" w:rightChars="50"/>
        <w:contextualSpacing/>
        <w:jc w:val="both"/>
        <w:textAlignment w:val="auto"/>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公司地址：</w:t>
      </w:r>
    </w:p>
    <w:p w14:paraId="71A62439">
      <w:pPr>
        <w:keepNext w:val="0"/>
        <w:keepLines w:val="0"/>
        <w:pageBreakBefore w:val="0"/>
        <w:widowControl w:val="0"/>
        <w:kinsoku/>
        <w:wordWrap/>
        <w:overflowPunct/>
        <w:topLinePunct/>
        <w:autoSpaceDE/>
        <w:autoSpaceDN/>
        <w:bidi w:val="0"/>
        <w:adjustRightInd/>
        <w:snapToGrid w:val="0"/>
        <w:spacing w:line="240" w:lineRule="auto"/>
        <w:ind w:left="105" w:leftChars="50" w:right="105" w:rightChars="50"/>
        <w:contextualSpacing/>
        <w:jc w:val="both"/>
        <w:textAlignment w:val="auto"/>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法定代表人：</w:t>
      </w:r>
    </w:p>
    <w:p w14:paraId="43DFC6D9">
      <w:pPr>
        <w:widowControl w:val="0"/>
        <w:kinsoku/>
        <w:topLinePunct/>
        <w:autoSpaceDE/>
        <w:autoSpaceDN/>
        <w:adjustRightInd/>
        <w:snapToGrid w:val="0"/>
        <w:spacing w:line="240" w:lineRule="auto"/>
        <w:ind w:left="105" w:leftChars="50" w:right="105" w:rightChars="50"/>
        <w:contextualSpacing/>
        <w:jc w:val="both"/>
        <w:textAlignment w:val="auto"/>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统一社会信用代码：</w:t>
      </w:r>
    </w:p>
    <w:p w14:paraId="632528C9">
      <w:pPr>
        <w:ind w:firstLine="554" w:firstLineChars="231"/>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根据《中华人民共和国民法典》及相关法律、法规，甲乙双方本着平等、自愿、诚实信用的原则，就2026年渝东南分公司（第一批）设备采购工作达成如下协议：</w:t>
      </w:r>
    </w:p>
    <w:p w14:paraId="54CE7C5B">
      <w:pPr>
        <w:numPr>
          <w:ilvl w:val="0"/>
          <w:numId w:val="1"/>
        </w:numP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项目名称：</w:t>
      </w:r>
    </w:p>
    <w:p w14:paraId="2218AB0F">
      <w:pPr>
        <w:ind w:firstLine="554" w:firstLineChars="231"/>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2026年渝东南分公司（第一批）设备采购。</w:t>
      </w:r>
    </w:p>
    <w:p w14:paraId="4CD577FC">
      <w:pPr>
        <w:numPr>
          <w:ilvl w:val="0"/>
          <w:numId w:val="1"/>
        </w:numP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项目内容与范围：</w:t>
      </w:r>
    </w:p>
    <w:p w14:paraId="781E1702">
      <w:pPr>
        <w:ind w:firstLine="554" w:firstLineChars="231"/>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2.1</w:t>
      </w:r>
      <w:r>
        <w:rPr>
          <w:rFonts w:hint="default" w:ascii="方正仿宋_GBK" w:hAnsi="方正仿宋_GBK" w:eastAsia="方正仿宋_GBK" w:cs="方正仿宋_GBK"/>
          <w:snapToGrid/>
          <w:kern w:val="2"/>
          <w:sz w:val="24"/>
          <w:szCs w:val="24"/>
          <w:highlight w:val="none"/>
          <w:lang w:val="en-US" w:eastAsia="zh-CN" w:bidi="ar-SA"/>
        </w:rPr>
        <w:t xml:space="preserve"> 内容和范围：</w:t>
      </w:r>
      <w:r>
        <w:rPr>
          <w:rFonts w:hint="eastAsia" w:ascii="方正仿宋_GBK" w:hAnsi="方正仿宋_GBK" w:eastAsia="方正仿宋_GBK" w:cs="方正仿宋_GBK"/>
          <w:snapToGrid/>
          <w:kern w:val="2"/>
          <w:sz w:val="24"/>
          <w:szCs w:val="24"/>
          <w:highlight w:val="none"/>
          <w:lang w:val="en-US" w:eastAsia="zh-CN" w:bidi="ar-SA"/>
        </w:rPr>
        <w:t>设备共计40台：含便携式DO仪4台、泵吸式气体检测仪5台、管道内窥镜1台，超声波明渠流量计10台、罗茨风机4台、气动隔膜泵2台、</w:t>
      </w:r>
      <w:r>
        <w:rPr>
          <w:rFonts w:hint="default" w:ascii="方正仿宋_GBK" w:hAnsi="方正仿宋_GBK" w:eastAsia="方正仿宋_GBK" w:cs="方正仿宋_GBK"/>
          <w:snapToGrid/>
          <w:kern w:val="2"/>
          <w:sz w:val="24"/>
          <w:szCs w:val="24"/>
          <w:highlight w:val="none"/>
          <w:lang w:val="en-US" w:eastAsia="zh-CN" w:bidi="ar-SA"/>
        </w:rPr>
        <w:t>6</w:t>
      </w:r>
      <w:r>
        <w:rPr>
          <w:rFonts w:hint="eastAsia" w:ascii="方正仿宋_GBK" w:hAnsi="方正仿宋_GBK" w:eastAsia="方正仿宋_GBK" w:cs="方正仿宋_GBK"/>
          <w:snapToGrid/>
          <w:kern w:val="2"/>
          <w:sz w:val="24"/>
          <w:szCs w:val="24"/>
          <w:highlight w:val="none"/>
          <w:lang w:val="en-US" w:eastAsia="zh-CN" w:bidi="ar-SA"/>
        </w:rPr>
        <w:t>台立式桨叶搅拌机、1台移动离心式潜污泵、3台潜水推流器、2台单级离心泵（配套1个控制柜）和2台螺杆泵。</w:t>
      </w:r>
    </w:p>
    <w:p w14:paraId="107898E6">
      <w:pPr>
        <w:ind w:firstLine="554" w:firstLineChars="231"/>
        <w:rPr>
          <w:rFonts w:hint="eastAsia"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snapToGrid/>
          <w:kern w:val="2"/>
          <w:sz w:val="24"/>
          <w:szCs w:val="24"/>
          <w:highlight w:val="none"/>
          <w:lang w:val="en-US" w:eastAsia="zh-CN" w:bidi="ar-SA"/>
        </w:rPr>
        <w:t>2.2.设备需求型号及数量：</w:t>
      </w:r>
    </w:p>
    <w:tbl>
      <w:tblPr>
        <w:tblStyle w:val="15"/>
        <w:tblW w:w="84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6"/>
        <w:gridCol w:w="790"/>
        <w:gridCol w:w="3803"/>
        <w:gridCol w:w="1241"/>
        <w:gridCol w:w="1344"/>
      </w:tblGrid>
      <w:tr w14:paraId="7F422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FC6A">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设备名称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4E72F">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数量</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6D25">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技术参数</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9F01">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含税单价（元）</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2352">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小计</w:t>
            </w:r>
          </w:p>
        </w:tc>
      </w:tr>
      <w:tr w14:paraId="24FF5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2B20">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便携式DO仪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341C">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4</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BAC1">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溶解氧（DO）：0.0～20.0mg/L</w:t>
            </w:r>
            <w:r>
              <w:rPr>
                <w:rFonts w:hint="default" w:ascii="方正仿宋_GBK" w:hAnsi="方正仿宋_GBK" w:eastAsia="方正仿宋_GBK" w:cs="方正仿宋_GBK"/>
                <w:snapToGrid/>
                <w:kern w:val="2"/>
                <w:sz w:val="24"/>
                <w:szCs w:val="24"/>
                <w:highlight w:val="none"/>
                <w:lang w:val="en-US" w:eastAsia="zh-CN" w:bidi="ar-SA"/>
              </w:rPr>
              <w:br w:type="textWrapping"/>
            </w:r>
            <w:r>
              <w:rPr>
                <w:rFonts w:hint="default" w:ascii="方正仿宋_GBK" w:hAnsi="方正仿宋_GBK" w:eastAsia="方正仿宋_GBK" w:cs="方正仿宋_GBK"/>
                <w:snapToGrid/>
                <w:kern w:val="2"/>
                <w:sz w:val="24"/>
                <w:szCs w:val="24"/>
                <w:highlight w:val="none"/>
                <w:lang w:val="en-US" w:eastAsia="zh-CN" w:bidi="ar-SA"/>
              </w:rPr>
              <w:t>饱和度：0～200%</w:t>
            </w:r>
            <w:r>
              <w:rPr>
                <w:rFonts w:hint="default" w:ascii="方正仿宋_GBK" w:hAnsi="方正仿宋_GBK" w:eastAsia="方正仿宋_GBK" w:cs="方正仿宋_GBK"/>
                <w:snapToGrid/>
                <w:kern w:val="2"/>
                <w:sz w:val="24"/>
                <w:szCs w:val="24"/>
                <w:highlight w:val="none"/>
                <w:lang w:val="en-US" w:eastAsia="zh-CN" w:bidi="ar-SA"/>
              </w:rPr>
              <w:br w:type="textWrapping"/>
            </w:r>
            <w:r>
              <w:rPr>
                <w:rFonts w:hint="default" w:ascii="方正仿宋_GBK" w:hAnsi="方正仿宋_GBK" w:eastAsia="方正仿宋_GBK" w:cs="方正仿宋_GBK"/>
                <w:snapToGrid/>
                <w:kern w:val="2"/>
                <w:sz w:val="24"/>
                <w:szCs w:val="24"/>
                <w:highlight w:val="none"/>
                <w:lang w:val="en-US" w:eastAsia="zh-CN" w:bidi="ar-SA"/>
              </w:rPr>
              <w:t xml:space="preserve">温度（T）：0～100℃        </w:t>
            </w:r>
          </w:p>
          <w:p w14:paraId="1AC69E5E">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 xml:space="preserve">测量精度：溶氧度：±0.2mg/L  </w:t>
            </w:r>
          </w:p>
          <w:p w14:paraId="27B2C51F">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饱和度：±0.5mg/L</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8C66">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F95A">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45E8D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20FA">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泵吸式气体检测仪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3CAB">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5</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1AE4">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四合一泵吸式气体检测仪</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9C53">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F053">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27F1A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13C1">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管道内窥镜(QV)</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4901">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1</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B6A4">
            <w:pPr>
              <w:rPr>
                <w:rFonts w:hint="default" w:ascii="方正仿宋_GBK" w:hAnsi="方正仿宋_GBK" w:eastAsia="方正仿宋_GBK" w:cs="方正仿宋_GBK"/>
                <w:snapToGrid/>
                <w:kern w:val="2"/>
                <w:sz w:val="24"/>
                <w:szCs w:val="24"/>
                <w:highlight w:val="none"/>
                <w:lang w:val="en-US" w:eastAsia="zh-CN" w:bidi="ar-SA"/>
              </w:rPr>
            </w:pPr>
            <w:r>
              <w:rPr>
                <w:rFonts w:hint="default" w:ascii="Times New Roman" w:hAnsi="Times New Roman" w:eastAsia="方正仿宋_GBK" w:cs="Times New Roman"/>
                <w:i w:val="0"/>
                <w:iCs w:val="0"/>
                <w:snapToGrid w:val="0"/>
                <w:color w:val="000000"/>
                <w:kern w:val="0"/>
                <w:sz w:val="24"/>
                <w:szCs w:val="24"/>
                <w:u w:val="none"/>
                <w:lang w:val="en-US" w:eastAsia="zh-CN" w:bidi="ar"/>
              </w:rPr>
              <w:t>基本功能：9寸显示屏，旋转双摄像机，拍照，视频录制，录音，分辨率1920*1080P；摄像头视角：145度；最大探测深度/材料：7MM直径电缆：100米/弹性高强度纤维管；摄像头像素:大于100W；防护等级：IP68；工作温度：-20-60度；</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0EFB">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0095">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1AF7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82A0">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超声波明渠流量计</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6156">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10</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2C4A">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超声波液位计，含表头探头，不含巴歇尔槽；盲区-0.3m,量程-0-3m.220V（流量范围：10L/s～10000L/s ）</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FBCD">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1C46">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48694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0F0D">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罗茨风机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0A90">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2</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100F">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Q=1m³/min，P=34.3kpa，N=1.5kW，口径50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1129">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BC50">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7EEA7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1AB0">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罗茨风机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8077">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1</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28CD">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Q=3.8m³/min，P=53.9kpa，N=5.5kW，口径80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612B5">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2C8E">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7F5D0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2C67">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罗茨风机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4241">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1</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EBB9">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Q=6m³/min，P=49kpa，N=11kW，口径100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CC65">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B2CC">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39431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5C59">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气动隔膜泵</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294E">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2</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085F">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气压2-7kg/cm2，吸程7m，流量8m3/h，口径32</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6418">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BE82">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4DFE2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A734">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潜水推流器</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3FFD">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3</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52A5">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φ=1800mm，N=4kw，52r/min，二桨叶</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95B4">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CCC5">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44BF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1D1D">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立式桨叶搅拌机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0B68">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6</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2ABD">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桨叶直径：254毫米（10英寸）。 输出转速：253 rpm。 电机功率：0.55 kW</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FA51">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9F28">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1C7DD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595C">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螺杆泵</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5E7D">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2</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D19B">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参数：Q=8m3/h,P=0.6MPA,N=3KW.</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77FF">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8299">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213B9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1865">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立式单级离心泵</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4F02">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2</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6B44">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流量=40m3/h,扬程=70m,功率=18.5KW</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CA3D">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49A6">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3249E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E6D8">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立式单级离心泵配套控制柜</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7C63">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1</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DFAD">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KQK002QB-18.5L，一对一全变频控制，国产元器件，304不锈钢户外型，配置压力传感器和远程控制接口</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0EEA">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10C8">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23F7A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C5C3">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移动离心式潜污泵</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5D89">
            <w:pPr>
              <w:jc w:val="cente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1</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6DB9">
            <w:pPr>
              <w:rPr>
                <w:rFonts w:hint="default" w:ascii="方正仿宋_GBK" w:hAnsi="方正仿宋_GBK" w:eastAsia="方正仿宋_GBK" w:cs="方正仿宋_GBK"/>
                <w:snapToGrid/>
                <w:kern w:val="2"/>
                <w:sz w:val="24"/>
                <w:szCs w:val="24"/>
                <w:highlight w:val="none"/>
                <w:lang w:val="en-US" w:eastAsia="zh-CN" w:bidi="ar-SA"/>
              </w:rPr>
            </w:pPr>
            <w:r>
              <w:rPr>
                <w:rFonts w:hint="default" w:ascii="方正仿宋_GBK" w:hAnsi="方正仿宋_GBK" w:eastAsia="方正仿宋_GBK" w:cs="方正仿宋_GBK"/>
                <w:snapToGrid/>
                <w:kern w:val="2"/>
                <w:sz w:val="24"/>
                <w:szCs w:val="24"/>
                <w:highlight w:val="none"/>
                <w:lang w:val="en-US" w:eastAsia="zh-CN" w:bidi="ar-SA"/>
              </w:rPr>
              <w:t>流量=150m³/h，扬程=14米，功率=11KW</w:t>
            </w:r>
            <w:r>
              <w:rPr>
                <w:rFonts w:hint="default" w:ascii="方正仿宋_GBK" w:hAnsi="方正仿宋_GBK" w:eastAsia="方正仿宋_GBK" w:cs="方正仿宋_GBK"/>
                <w:snapToGrid/>
                <w:kern w:val="2"/>
                <w:sz w:val="24"/>
                <w:szCs w:val="24"/>
                <w:highlight w:val="none"/>
                <w:lang w:val="en-US" w:eastAsia="zh-CN" w:bidi="ar-SA"/>
              </w:rPr>
              <w:br w:type="textWrapping"/>
            </w:r>
            <w:r>
              <w:rPr>
                <w:rFonts w:hint="default" w:ascii="方正仿宋_GBK" w:hAnsi="方正仿宋_GBK" w:eastAsia="方正仿宋_GBK" w:cs="方正仿宋_GBK"/>
                <w:snapToGrid/>
                <w:kern w:val="2"/>
                <w:sz w:val="24"/>
                <w:szCs w:val="24"/>
                <w:highlight w:val="none"/>
                <w:lang w:val="en-US" w:eastAsia="zh-CN" w:bidi="ar-SA"/>
              </w:rPr>
              <w:t>配套110法兰盘。</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5DBB">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8938">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253C7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71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CCDCF2">
            <w:pPr>
              <w:ind w:firstLine="554" w:firstLineChars="231"/>
              <w:jc w:val="center"/>
              <w:rPr>
                <w:rFonts w:hint="default" w:ascii="方正仿宋_GBK" w:hAnsi="方正仿宋_GBK" w:eastAsia="方正仿宋_GBK" w:cs="方正仿宋_GBK"/>
                <w:snapToGrid/>
                <w:kern w:val="2"/>
                <w:sz w:val="24"/>
                <w:szCs w:val="24"/>
                <w:highlight w:val="none"/>
                <w:lang w:val="en-US" w:eastAsia="zh-CN" w:bidi="ar-SA"/>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合计（元）</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3382">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bl>
    <w:p w14:paraId="1D7078B7">
      <w:pPr>
        <w:ind w:firstLine="554" w:firstLineChars="231"/>
        <w:rPr>
          <w:rFonts w:hint="default" w:ascii="方正仿宋_GBK" w:hAnsi="方正仿宋_GBK" w:eastAsia="方正仿宋_GBK" w:cs="方正仿宋_GBK"/>
          <w:snapToGrid/>
          <w:kern w:val="2"/>
          <w:sz w:val="24"/>
          <w:szCs w:val="24"/>
          <w:highlight w:val="none"/>
          <w:lang w:val="en-US" w:eastAsia="zh-CN" w:bidi="ar-SA"/>
        </w:rPr>
      </w:pPr>
    </w:p>
    <w:p w14:paraId="46F17FCD">
      <w:pPr>
        <w:numPr>
          <w:ilvl w:val="0"/>
          <w:numId w:val="0"/>
        </w:numPr>
        <w:ind w:right="105" w:rightChars="5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三、合同价款及支付方式：</w:t>
      </w:r>
    </w:p>
    <w:p w14:paraId="626BDC5A">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rPr>
      </w:pPr>
      <w:r>
        <w:rPr>
          <w:rFonts w:hint="eastAsia" w:ascii="方正仿宋_GBK" w:hAnsi="方正仿宋_GBK" w:eastAsia="方正仿宋_GBK" w:cs="方正仿宋_GBK"/>
          <w:color w:val="121212"/>
          <w:sz w:val="24"/>
          <w:szCs w:val="24"/>
          <w:lang w:eastAsia="zh-CN"/>
        </w:rPr>
        <w:t>（</w:t>
      </w:r>
      <w:r>
        <w:rPr>
          <w:rFonts w:hint="eastAsia" w:ascii="方正仿宋_GBK" w:hAnsi="方正仿宋_GBK" w:eastAsia="方正仿宋_GBK" w:cs="方正仿宋_GBK"/>
          <w:color w:val="121212"/>
          <w:sz w:val="24"/>
          <w:szCs w:val="24"/>
          <w:lang w:val="en-US" w:eastAsia="zh-CN"/>
        </w:rPr>
        <w:t>一</w:t>
      </w:r>
      <w:r>
        <w:rPr>
          <w:rFonts w:hint="eastAsia" w:ascii="方正仿宋_GBK" w:hAnsi="方正仿宋_GBK" w:eastAsia="方正仿宋_GBK" w:cs="方正仿宋_GBK"/>
          <w:color w:val="121212"/>
          <w:sz w:val="24"/>
          <w:szCs w:val="24"/>
          <w:lang w:eastAsia="zh-CN"/>
        </w:rPr>
        <w:t>）</w:t>
      </w:r>
      <w:r>
        <w:rPr>
          <w:rFonts w:hint="eastAsia" w:ascii="方正仿宋_GBK" w:hAnsi="方正仿宋_GBK" w:eastAsia="方正仿宋_GBK" w:cs="方正仿宋_GBK"/>
          <w:color w:val="121212"/>
          <w:sz w:val="24"/>
          <w:szCs w:val="24"/>
        </w:rPr>
        <w:t>计价方式：</w:t>
      </w:r>
      <w:r>
        <w:rPr>
          <w:rFonts w:hint="eastAsia" w:ascii="方正仿宋_GBK" w:hAnsi="方正仿宋_GBK" w:eastAsia="方正仿宋_GBK" w:cs="方正仿宋_GBK"/>
          <w:color w:val="121212"/>
          <w:sz w:val="24"/>
          <w:szCs w:val="24"/>
          <w:lang w:val="en-US" w:eastAsia="zh-CN"/>
        </w:rPr>
        <w:t xml:space="preserve">本合同为固定总价包干合同，合同总价暂定为人民币  </w:t>
      </w:r>
      <w:r>
        <w:rPr>
          <w:rFonts w:hint="eastAsia" w:ascii="方正仿宋_GBK" w:hAnsi="方正仿宋_GBK" w:eastAsia="方正仿宋_GBK" w:cs="方正仿宋_GBK"/>
          <w:color w:val="121212"/>
          <w:sz w:val="24"/>
          <w:szCs w:val="24"/>
        </w:rPr>
        <w:t>元（大写：</w:t>
      </w:r>
      <w:r>
        <w:rPr>
          <w:rFonts w:hint="eastAsia" w:ascii="方正仿宋_GBK" w:hAnsi="方正仿宋_GBK" w:eastAsia="方正仿宋_GBK" w:cs="方正仿宋_GBK"/>
          <w:color w:val="121212"/>
          <w:sz w:val="24"/>
          <w:szCs w:val="24"/>
          <w:lang w:val="en-US" w:eastAsia="zh-CN"/>
        </w:rPr>
        <w:t xml:space="preserve">  元</w:t>
      </w:r>
      <w:r>
        <w:rPr>
          <w:rFonts w:hint="eastAsia" w:ascii="方正仿宋_GBK" w:hAnsi="方正仿宋_GBK" w:eastAsia="方正仿宋_GBK" w:cs="方正仿宋_GBK"/>
          <w:color w:val="121212"/>
          <w:sz w:val="24"/>
          <w:szCs w:val="24"/>
        </w:rPr>
        <w:t>）</w:t>
      </w:r>
      <w:r>
        <w:rPr>
          <w:rFonts w:hint="eastAsia" w:ascii="方正仿宋_GBK" w:hAnsi="方正仿宋_GBK" w:eastAsia="方正仿宋_GBK" w:cs="方正仿宋_GBK"/>
          <w:color w:val="121212"/>
          <w:sz w:val="24"/>
          <w:szCs w:val="24"/>
          <w:lang w:val="en-US" w:eastAsia="zh-CN"/>
        </w:rPr>
        <w:t>。该价款已包含人工、材料、设备、运输、安装、调试、税费、管理费、利润、各类风险、增值税及完成本合同全部工作内容所需的一切费用。除合同另有书面约定的变更签证外，采购方无需另行支付其他任何费用</w:t>
      </w:r>
      <w:r>
        <w:rPr>
          <w:rFonts w:hint="eastAsia" w:ascii="方正仿宋_GBK" w:hAnsi="方正仿宋_GBK" w:eastAsia="方正仿宋_GBK" w:cs="方正仿宋_GBK"/>
          <w:color w:val="121212"/>
          <w:sz w:val="24"/>
          <w:szCs w:val="24"/>
        </w:rPr>
        <w:t>。</w:t>
      </w:r>
    </w:p>
    <w:p w14:paraId="596A2FAD">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val="en-US" w:eastAsia="zh-CN"/>
        </w:rPr>
      </w:pPr>
      <w:r>
        <w:rPr>
          <w:rFonts w:hint="eastAsia" w:ascii="方正仿宋_GBK" w:hAnsi="方正仿宋_GBK" w:eastAsia="方正仿宋_GBK" w:cs="方正仿宋_GBK"/>
          <w:color w:val="121212"/>
          <w:sz w:val="24"/>
          <w:szCs w:val="24"/>
          <w:lang w:val="en-US" w:eastAsia="zh-CN"/>
        </w:rPr>
        <w:t>（二）合同结算原则</w:t>
      </w:r>
    </w:p>
    <w:p w14:paraId="195C7F64">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val="en-US" w:eastAsia="zh-CN"/>
        </w:rPr>
      </w:pPr>
      <w:r>
        <w:rPr>
          <w:rFonts w:hint="eastAsia" w:ascii="方正仿宋_GBK" w:hAnsi="方正仿宋_GBK" w:eastAsia="方正仿宋_GBK" w:cs="方正仿宋_GBK"/>
          <w:color w:val="121212"/>
          <w:sz w:val="24"/>
          <w:szCs w:val="24"/>
          <w:lang w:val="en-US" w:eastAsia="zh-CN"/>
        </w:rPr>
        <w:t>固定总价结算原则</w:t>
      </w:r>
    </w:p>
    <w:p w14:paraId="28812D14">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val="en-US" w:eastAsia="zh-CN"/>
        </w:rPr>
      </w:pPr>
      <w:r>
        <w:rPr>
          <w:rFonts w:hint="eastAsia" w:ascii="方正仿宋_GBK" w:hAnsi="方正仿宋_GBK" w:eastAsia="方正仿宋_GBK" w:cs="方正仿宋_GBK"/>
          <w:color w:val="121212"/>
          <w:sz w:val="24"/>
          <w:szCs w:val="24"/>
          <w:lang w:val="en-US" w:eastAsia="zh-CN"/>
        </w:rPr>
        <w:t>（1）本合同采用固定总价包干方式的，合同总价不因人工、材料、机械价格涨跌、施工工艺变化、常规施工条件及市场行情波动而作任何调整。</w:t>
      </w:r>
    </w:p>
    <w:p w14:paraId="5897476C">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val="en-US" w:eastAsia="zh-CN"/>
        </w:rPr>
      </w:pPr>
      <w:r>
        <w:rPr>
          <w:rFonts w:hint="eastAsia" w:ascii="方正仿宋_GBK" w:hAnsi="方正仿宋_GBK" w:eastAsia="方正仿宋_GBK" w:cs="方正仿宋_GBK"/>
          <w:color w:val="121212"/>
          <w:sz w:val="24"/>
          <w:szCs w:val="24"/>
          <w:lang w:val="en-US" w:eastAsia="zh-CN"/>
        </w:rPr>
        <w:t>（2）乙</w:t>
      </w:r>
      <w:r>
        <w:rPr>
          <w:rFonts w:hint="eastAsia" w:ascii="方正仿宋_GBK" w:hAnsi="方正仿宋_GBK" w:eastAsia="方正仿宋_GBK" w:cs="方正仿宋_GBK"/>
          <w:color w:val="121212"/>
          <w:sz w:val="24"/>
          <w:szCs w:val="24"/>
          <w:lang w:eastAsia="zh-CN"/>
        </w:rPr>
        <w:t>方</w:t>
      </w:r>
      <w:r>
        <w:rPr>
          <w:rFonts w:hint="eastAsia" w:ascii="方正仿宋_GBK" w:hAnsi="方正仿宋_GBK" w:eastAsia="方正仿宋_GBK" w:cs="方正仿宋_GBK"/>
          <w:color w:val="121212"/>
          <w:sz w:val="24"/>
          <w:szCs w:val="24"/>
          <w:lang w:val="en-US" w:eastAsia="zh-CN"/>
        </w:rPr>
        <w:t>已充分踏勘现场、熟悉图纸及全部工作内容，总价已包含完成合同约定全部工程/服务/采购内容的所有成本、管理费、利润、措施费、规费、税金、运输装卸、安装调试、检测验收、风险费及所有配套零星费用。</w:t>
      </w:r>
    </w:p>
    <w:p w14:paraId="571E70D6">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rPr>
      </w:pPr>
      <w:r>
        <w:rPr>
          <w:rFonts w:hint="eastAsia" w:ascii="方正仿宋_GBK" w:hAnsi="方正仿宋_GBK" w:eastAsia="方正仿宋_GBK" w:cs="方正仿宋_GBK"/>
          <w:color w:val="121212"/>
          <w:sz w:val="24"/>
          <w:szCs w:val="24"/>
          <w:lang w:val="en-US" w:eastAsia="zh-CN"/>
        </w:rPr>
        <w:t>（3）除经甲方书面确认的工程变更、现场签证及合同另有约定外，合同不作任何增、减项调整。</w:t>
      </w:r>
    </w:p>
    <w:p w14:paraId="0B10B71A">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val="en-US" w:eastAsia="zh-CN"/>
        </w:rPr>
        <w:t>（三）</w:t>
      </w:r>
      <w:r>
        <w:rPr>
          <w:rFonts w:hint="eastAsia" w:ascii="方正仿宋_GBK" w:hAnsi="方正仿宋_GBK" w:eastAsia="方正仿宋_GBK" w:cs="方正仿宋_GBK"/>
          <w:color w:val="121212"/>
          <w:sz w:val="24"/>
          <w:szCs w:val="24"/>
          <w:lang w:eastAsia="zh-CN"/>
        </w:rPr>
        <w:t>合同价款的支付</w:t>
      </w:r>
    </w:p>
    <w:p w14:paraId="72364FFE">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val="en-US" w:eastAsia="zh-CN"/>
        </w:rPr>
        <w:t>3</w:t>
      </w:r>
      <w:r>
        <w:rPr>
          <w:rFonts w:hint="eastAsia" w:ascii="方正仿宋_GBK" w:hAnsi="方正仿宋_GBK" w:eastAsia="方正仿宋_GBK" w:cs="方正仿宋_GBK"/>
          <w:color w:val="121212"/>
          <w:sz w:val="24"/>
          <w:szCs w:val="24"/>
          <w:lang w:eastAsia="zh-CN"/>
        </w:rPr>
        <w:t>.1 除专用合同条款另有约定外，任何情况下，甲方在支付货款前，供应商应满足以下全部付款前提条件，否则甲方有权拒绝支付，且不承担违约责任等任何责任：</w:t>
      </w:r>
    </w:p>
    <w:p w14:paraId="2B6FC5D0">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(1)乙方按照合同文件要求、合同约定和甲方要求按时按质按量供货并提供相关服务。</w:t>
      </w:r>
    </w:p>
    <w:p w14:paraId="61C498D8">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(2)乙方向甲方提供与支付货款金额相等的且满足甲方财务要求的增值税发票及合同载明的付款相关单据和材料，包括但不限于：</w:t>
      </w:r>
    </w:p>
    <w:p w14:paraId="410F68EE">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双方签署的交货清单正本原件一份；</w:t>
      </w:r>
    </w:p>
    <w:p w14:paraId="65150E84">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甲方认可的完税全额增值税发票正本一份；</w:t>
      </w:r>
    </w:p>
    <w:p w14:paraId="5534A0BD">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制造商出具的货物出厂质量合格证、数量证明书、校准证书正本一份；</w:t>
      </w:r>
    </w:p>
    <w:p w14:paraId="6533102F">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双方约定的其他单据和资料。</w:t>
      </w:r>
    </w:p>
    <w:p w14:paraId="6FCCAB80">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双方约定的其他付款条件。</w:t>
      </w:r>
    </w:p>
    <w:p w14:paraId="6C086A96">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w:t>
      </w:r>
      <w:r>
        <w:rPr>
          <w:rFonts w:hint="eastAsia" w:ascii="方正仿宋_GBK" w:hAnsi="方正仿宋_GBK" w:eastAsia="方正仿宋_GBK" w:cs="方正仿宋_GBK"/>
          <w:color w:val="121212"/>
          <w:sz w:val="24"/>
          <w:szCs w:val="24"/>
          <w:lang w:val="en-US" w:eastAsia="zh-CN"/>
        </w:rPr>
        <w:t>四</w:t>
      </w:r>
      <w:r>
        <w:rPr>
          <w:rFonts w:hint="eastAsia" w:ascii="方正仿宋_GBK" w:hAnsi="方正仿宋_GBK" w:eastAsia="方正仿宋_GBK" w:cs="方正仿宋_GBK"/>
          <w:color w:val="121212"/>
          <w:sz w:val="24"/>
          <w:szCs w:val="24"/>
          <w:lang w:eastAsia="zh-CN"/>
        </w:rPr>
        <w:t>）付款方式：</w:t>
      </w:r>
    </w:p>
    <w:p w14:paraId="2FFADA55">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val="en-US" w:eastAsia="zh-CN"/>
        </w:rPr>
        <w:t>4</w:t>
      </w:r>
      <w:r>
        <w:rPr>
          <w:rFonts w:hint="eastAsia" w:ascii="方正仿宋_GBK" w:hAnsi="方正仿宋_GBK" w:eastAsia="方正仿宋_GBK" w:cs="方正仿宋_GBK"/>
          <w:color w:val="121212"/>
          <w:sz w:val="24"/>
          <w:szCs w:val="24"/>
          <w:lang w:eastAsia="zh-CN"/>
        </w:rPr>
        <w:t>.1本项目不支付预付款。</w:t>
      </w:r>
    </w:p>
    <w:p w14:paraId="65E3BB11">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val="en-US" w:eastAsia="zh-CN"/>
        </w:rPr>
        <w:t>4</w:t>
      </w:r>
      <w:r>
        <w:rPr>
          <w:rFonts w:hint="eastAsia" w:ascii="方正仿宋_GBK" w:hAnsi="方正仿宋_GBK" w:eastAsia="方正仿宋_GBK" w:cs="方正仿宋_GBK"/>
          <w:color w:val="121212"/>
          <w:sz w:val="24"/>
          <w:szCs w:val="24"/>
          <w:lang w:eastAsia="zh-CN"/>
        </w:rPr>
        <w:t>.2在合同约定的付款前提条件全部满足后，甲方应按以下方式和比例向供应商支付合同价款。</w:t>
      </w:r>
    </w:p>
    <w:p w14:paraId="063E2AFC">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乙方完成供货，经甲方现场初步验收合格，甲方在收到乙方提交的本合同约定和甲方要求的完整单据和资料(含符合要求的增值税发票)后，【</w:t>
      </w:r>
      <w:r>
        <w:rPr>
          <w:rFonts w:hint="eastAsia" w:ascii="方正仿宋_GBK" w:hAnsi="方正仿宋_GBK" w:eastAsia="方正仿宋_GBK" w:cs="方正仿宋_GBK"/>
          <w:color w:val="121212"/>
          <w:sz w:val="24"/>
          <w:szCs w:val="24"/>
          <w:lang w:val="en-US" w:eastAsia="zh-CN"/>
        </w:rPr>
        <w:t>15</w:t>
      </w:r>
      <w:r>
        <w:rPr>
          <w:rFonts w:hint="eastAsia" w:ascii="方正仿宋_GBK" w:hAnsi="方正仿宋_GBK" w:eastAsia="方正仿宋_GBK" w:cs="方正仿宋_GBK"/>
          <w:color w:val="121212"/>
          <w:sz w:val="24"/>
          <w:szCs w:val="24"/>
          <w:lang w:eastAsia="zh-CN"/>
        </w:rPr>
        <w:t>】个工作日内支付该批货物货款的【</w:t>
      </w:r>
      <w:r>
        <w:rPr>
          <w:rFonts w:hint="eastAsia" w:ascii="方正仿宋_GBK" w:hAnsi="方正仿宋_GBK" w:eastAsia="方正仿宋_GBK" w:cs="方正仿宋_GBK"/>
          <w:color w:val="121212"/>
          <w:sz w:val="24"/>
          <w:szCs w:val="24"/>
          <w:lang w:val="en-US" w:eastAsia="zh-CN"/>
        </w:rPr>
        <w:t>97</w:t>
      </w:r>
      <w:r>
        <w:rPr>
          <w:rFonts w:hint="eastAsia" w:ascii="方正仿宋_GBK" w:hAnsi="方正仿宋_GBK" w:eastAsia="方正仿宋_GBK" w:cs="方正仿宋_GBK"/>
          <w:color w:val="121212"/>
          <w:sz w:val="24"/>
          <w:szCs w:val="24"/>
          <w:lang w:eastAsia="zh-CN"/>
        </w:rPr>
        <w:t>】%,设备安装(甲方自行安装)调试完成，投入运行，经甲方最终验收合格，剩余</w:t>
      </w:r>
      <w:r>
        <w:rPr>
          <w:rFonts w:hint="eastAsia" w:ascii="方正仿宋_GBK" w:hAnsi="方正仿宋_GBK" w:eastAsia="方正仿宋_GBK" w:cs="方正仿宋_GBK"/>
          <w:color w:val="121212"/>
          <w:sz w:val="24"/>
          <w:szCs w:val="24"/>
          <w:lang w:val="en-US" w:eastAsia="zh-CN"/>
        </w:rPr>
        <w:t>3</w:t>
      </w:r>
      <w:r>
        <w:rPr>
          <w:rFonts w:hint="eastAsia" w:ascii="方正仿宋_GBK" w:hAnsi="方正仿宋_GBK" w:eastAsia="方正仿宋_GBK" w:cs="方正仿宋_GBK"/>
          <w:color w:val="121212"/>
          <w:sz w:val="24"/>
          <w:szCs w:val="24"/>
          <w:lang w:eastAsia="zh-CN"/>
        </w:rPr>
        <w:t>%作为质保金，在质保期满(1年)后一次性无息退还给乙方。</w:t>
      </w:r>
    </w:p>
    <w:p w14:paraId="67A18BE7">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val="en-US" w:eastAsia="zh-CN"/>
        </w:rPr>
        <w:t>4</w:t>
      </w:r>
      <w:r>
        <w:rPr>
          <w:rFonts w:hint="eastAsia" w:ascii="方正仿宋_GBK" w:hAnsi="方正仿宋_GBK" w:eastAsia="方正仿宋_GBK" w:cs="方正仿宋_GBK"/>
          <w:color w:val="121212"/>
          <w:sz w:val="24"/>
          <w:szCs w:val="24"/>
          <w:lang w:eastAsia="zh-CN"/>
        </w:rPr>
        <w:t>.3银行费用</w:t>
      </w:r>
    </w:p>
    <w:p w14:paraId="579BED00">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在甲方银行发生的费用由甲方负担，在乙方银行发生的费用由乙方负担。</w:t>
      </w:r>
    </w:p>
    <w:p w14:paraId="4651D027">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val="en-US" w:eastAsia="zh-CN"/>
        </w:rPr>
        <w:t>4</w:t>
      </w:r>
      <w:r>
        <w:rPr>
          <w:rFonts w:hint="eastAsia" w:ascii="方正仿宋_GBK" w:hAnsi="方正仿宋_GBK" w:eastAsia="方正仿宋_GBK" w:cs="方正仿宋_GBK"/>
          <w:color w:val="121212"/>
          <w:sz w:val="24"/>
          <w:szCs w:val="24"/>
          <w:lang w:eastAsia="zh-CN"/>
        </w:rPr>
        <w:t>.4除专用合同条款另有约定外，本合同支付均用人民币以【银行汇款】的方式，通过甲方开户银行与乙方开户银行之间进行。乙方与甲方签订合同时使用的“开户银行名称、帐户名称(简称户名)及账号”为双方确认的，且签订后非经甲方事先书面同意不得变更，否则甲方有权拒绝付款且不承担违约责任等任何责任，由此造成的一切后果、风险、损失、费用、责任等均由乙方承担。</w:t>
      </w:r>
    </w:p>
    <w:p w14:paraId="200C3C99">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val="en-US" w:eastAsia="zh-CN"/>
        </w:rPr>
        <w:t>4</w:t>
      </w:r>
      <w:r>
        <w:rPr>
          <w:rFonts w:hint="eastAsia" w:ascii="方正仿宋_GBK" w:hAnsi="方正仿宋_GBK" w:eastAsia="方正仿宋_GBK" w:cs="方正仿宋_GBK"/>
          <w:color w:val="121212"/>
          <w:sz w:val="24"/>
          <w:szCs w:val="24"/>
          <w:lang w:eastAsia="zh-CN"/>
        </w:rPr>
        <w:t>.5甲方扣款的权利</w:t>
      </w:r>
    </w:p>
    <w:p w14:paraId="17DADC15">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eastAsia="zh-CN"/>
        </w:rPr>
        <w:t>当乙方应向甲方支付合同项下的违约金、赔偿金、未补足的履约保证金和(或)其他款项时，甲方有权从任何一笔应付款和所有应付款中予以直接扣除和(或)兑付履约保证金和低价风险担保(如有),超出履约保证金、低价风险担保(如有)和所有应付款的部分，由乙方继续承担。</w:t>
      </w:r>
    </w:p>
    <w:p w14:paraId="43B05DA8">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val="en-US" w:eastAsia="zh-CN"/>
        </w:rPr>
      </w:pPr>
      <w:r>
        <w:rPr>
          <w:rFonts w:hint="eastAsia" w:ascii="方正仿宋_GBK" w:hAnsi="方正仿宋_GBK" w:eastAsia="方正仿宋_GBK" w:cs="方正仿宋_GBK"/>
          <w:color w:val="121212"/>
          <w:sz w:val="24"/>
          <w:szCs w:val="24"/>
          <w:lang w:val="en-US" w:eastAsia="zh-CN"/>
        </w:rPr>
        <w:t>（五）发票及税率</w:t>
      </w:r>
    </w:p>
    <w:p w14:paraId="4B37BA43">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val="en-US" w:eastAsia="zh-CN"/>
        </w:rPr>
      </w:pPr>
      <w:r>
        <w:rPr>
          <w:rFonts w:hint="eastAsia" w:ascii="方正仿宋_GBK" w:hAnsi="方正仿宋_GBK" w:eastAsia="方正仿宋_GBK" w:cs="方正仿宋_GBK"/>
          <w:color w:val="121212"/>
          <w:sz w:val="24"/>
          <w:szCs w:val="24"/>
          <w:lang w:val="en-US" w:eastAsia="zh-CN"/>
        </w:rPr>
        <w:t>1.发票类型：乙方应向甲方开具符合国家税务规定的增值税专用发票/增值税普通发票。</w:t>
      </w:r>
    </w:p>
    <w:p w14:paraId="59BBD7CA">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rPr>
      </w:pPr>
      <w:r>
        <w:rPr>
          <w:rFonts w:hint="eastAsia" w:ascii="方正仿宋_GBK" w:hAnsi="方正仿宋_GBK" w:eastAsia="方正仿宋_GBK" w:cs="方正仿宋_GBK"/>
          <w:color w:val="121212"/>
          <w:sz w:val="24"/>
          <w:szCs w:val="24"/>
          <w:lang w:val="en-US" w:eastAsia="zh-CN"/>
        </w:rPr>
        <w:t>2.税率约定：本合同固定总价所包含的税金，对应增值税税率为</w:t>
      </w:r>
      <w:r>
        <w:rPr>
          <w:rFonts w:hint="eastAsia" w:ascii="方正仿宋_GBK" w:hAnsi="方正仿宋_GBK" w:eastAsia="方正仿宋_GBK" w:cs="方正仿宋_GBK"/>
          <w:color w:val="121212"/>
          <w:sz w:val="24"/>
          <w:szCs w:val="24"/>
          <w:u w:val="single"/>
          <w:lang w:val="en-US" w:eastAsia="zh-CN"/>
        </w:rPr>
        <w:t xml:space="preserve">    </w:t>
      </w:r>
      <w:r>
        <w:rPr>
          <w:rFonts w:hint="eastAsia" w:ascii="方正仿宋_GBK" w:hAnsi="方正仿宋_GBK" w:eastAsia="方正仿宋_GBK" w:cs="方正仿宋_GBK"/>
          <w:color w:val="121212"/>
          <w:sz w:val="24"/>
          <w:szCs w:val="24"/>
          <w:lang w:val="en-US" w:eastAsia="zh-CN"/>
        </w:rPr>
        <w:t>%；税率一经约定，履约期间不因国家税收政策调整以外的因素变更。若因国家税收政策调整导致税率变化，按新政策执行，合同总价不作额外调整（因税率调整产生的税额差额，纳入结算总价统一核算，仅针对政策调整部分据实调整，不涉及其他费用）。</w:t>
      </w:r>
    </w:p>
    <w:p w14:paraId="71BD8225">
      <w:pPr>
        <w:keepNext w:val="0"/>
        <w:keepLines w:val="0"/>
        <w:pageBreakBefore w:val="0"/>
        <w:widowControl w:val="0"/>
        <w:wordWrap/>
        <w:overflowPunct/>
        <w:topLinePunct w:val="0"/>
        <w:bidi w:val="0"/>
        <w:snapToGrid w:val="0"/>
        <w:spacing w:line="240" w:lineRule="auto"/>
        <w:ind w:firstLine="480" w:firstLineChars="200"/>
        <w:contextualSpacing/>
        <w:rPr>
          <w:rFonts w:hint="eastAsia" w:ascii="方正仿宋_GBK" w:hAnsi="方正仿宋_GBK" w:eastAsia="方正仿宋_GBK" w:cs="方正仿宋_GBK"/>
          <w:color w:val="121212"/>
          <w:sz w:val="24"/>
          <w:szCs w:val="24"/>
          <w:lang w:eastAsia="zh-CN"/>
        </w:rPr>
      </w:pPr>
      <w:r>
        <w:rPr>
          <w:rFonts w:hint="eastAsia" w:ascii="方正仿宋_GBK" w:hAnsi="方正仿宋_GBK" w:eastAsia="方正仿宋_GBK" w:cs="方正仿宋_GBK"/>
          <w:color w:val="121212"/>
          <w:sz w:val="24"/>
          <w:szCs w:val="24"/>
          <w:lang w:val="en-US" w:eastAsia="zh-CN"/>
        </w:rPr>
        <w:t>3.发票要求：每次付款前乙方应向甲方开具合法有效且满足甲方要求的增值税专用/普通发票，如乙方未开具合格发票的，甲方有权拒绝付款且不承担任何责任。乙方开具的发票应明确载明项目名称、服务/货物名称、金额、税率、税额等信息，确保发票真实、合法、有效，且与合同约定、实际履约内容一致。若</w:t>
      </w:r>
      <w:r>
        <w:rPr>
          <w:rFonts w:hint="eastAsia" w:ascii="方正仿宋_GBK" w:hAnsi="方正仿宋_GBK" w:eastAsia="方正仿宋_GBK" w:cs="方正仿宋_GBK"/>
          <w:color w:val="121212"/>
          <w:sz w:val="24"/>
          <w:szCs w:val="24"/>
        </w:rPr>
        <w:t>因乙方开具发票导致甲方进项税额无法抵扣或被税务机关要求转出的，乙方应在接到甲方通知后3个工作日内重新开具正确发票，并赔偿甲方因此产生的税款损失及滞纳金</w:t>
      </w:r>
      <w:r>
        <w:rPr>
          <w:rFonts w:hint="eastAsia" w:ascii="方正仿宋_GBK" w:hAnsi="方正仿宋_GBK" w:eastAsia="方正仿宋_GBK" w:cs="方正仿宋_GBK"/>
          <w:color w:val="121212"/>
          <w:sz w:val="24"/>
          <w:szCs w:val="24"/>
          <w:lang w:val="en-US" w:eastAsia="zh-CN"/>
        </w:rPr>
        <w:t>。</w:t>
      </w:r>
    </w:p>
    <w:p w14:paraId="15D9CDC2">
      <w:pPr>
        <w:numPr>
          <w:ilvl w:val="0"/>
          <w:numId w:val="0"/>
        </w:numPr>
        <w:ind w:right="105" w:rightChars="5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四、质量技术标准：</w:t>
      </w:r>
    </w:p>
    <w:p w14:paraId="6009C85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执行国家、地方、行业和重庆环投相关质量标准，供应商在供货时需提供该产品的标准文件、出厂合格证书及计量校准证书（如有）。（一）技术要求：</w:t>
      </w:r>
    </w:p>
    <w:p w14:paraId="1E75C1AE">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①通用技术要求：</w:t>
      </w:r>
    </w:p>
    <w:p w14:paraId="267F17B6">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 xml:space="preserve">1 </w:t>
      </w:r>
      <w:r>
        <w:rPr>
          <w:rFonts w:hint="default" w:ascii="方正仿宋_GBK" w:hAnsi="方正仿宋_GBK" w:eastAsia="方正仿宋_GBK" w:cs="方正仿宋_GBK"/>
          <w:color w:val="121212"/>
          <w:sz w:val="21"/>
          <w:szCs w:val="21"/>
          <w:lang w:val="en-US" w:eastAsia="zh-CN"/>
        </w:rPr>
        <w:t>设计使用期限</w:t>
      </w:r>
    </w:p>
    <w:p w14:paraId="66C01BC7">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设计的材料和设备均应有长的使用期，并应适合于长期的每天二十四小时的连续运转，且只</w:t>
      </w:r>
      <w:r>
        <w:rPr>
          <w:rFonts w:hint="eastAsia" w:ascii="方正仿宋_GBK" w:hAnsi="方正仿宋_GBK" w:eastAsia="方正仿宋_GBK" w:cs="方正仿宋_GBK"/>
          <w:color w:val="121212"/>
          <w:sz w:val="21"/>
          <w:szCs w:val="21"/>
          <w:lang w:val="en-US" w:eastAsia="zh-CN"/>
        </w:rPr>
        <w:t>需</w:t>
      </w:r>
      <w:r>
        <w:rPr>
          <w:rFonts w:hint="default" w:ascii="方正仿宋_GBK" w:hAnsi="方正仿宋_GBK" w:eastAsia="方正仿宋_GBK" w:cs="方正仿宋_GBK"/>
          <w:color w:val="121212"/>
          <w:sz w:val="21"/>
          <w:szCs w:val="21"/>
          <w:lang w:val="en-US" w:eastAsia="zh-CN"/>
        </w:rPr>
        <w:t>进行最少量的维修，可以要求</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对任何部件使用期作出证明，</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可以用相类似设备的使用记录或用广泛的测试记录来证明。</w:t>
      </w:r>
    </w:p>
    <w:p w14:paraId="13E7435B">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常规的维护和修理应尽可能的不要求技术高的人员来服务。</w:t>
      </w:r>
    </w:p>
    <w:p w14:paraId="2B7059CC">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除去易耗件如密封垫料等正常情况就需要较频繁的更换外，凡是须经受磨耗的无论</w:t>
      </w:r>
      <w:r>
        <w:rPr>
          <w:rFonts w:hint="eastAsia" w:ascii="方正仿宋_GBK" w:hAnsi="方正仿宋_GBK" w:eastAsia="方正仿宋_GBK" w:cs="方正仿宋_GBK"/>
          <w:color w:val="121212"/>
          <w:sz w:val="21"/>
          <w:szCs w:val="21"/>
          <w:lang w:val="en-US" w:eastAsia="zh-CN"/>
        </w:rPr>
        <w:t>哪</w:t>
      </w:r>
      <w:r>
        <w:rPr>
          <w:rFonts w:hint="default" w:ascii="方正仿宋_GBK" w:hAnsi="方正仿宋_GBK" w:eastAsia="方正仿宋_GBK" w:cs="方正仿宋_GBK"/>
          <w:color w:val="121212"/>
          <w:sz w:val="21"/>
          <w:szCs w:val="21"/>
          <w:lang w:val="en-US" w:eastAsia="zh-CN"/>
        </w:rPr>
        <w:t>一种的部件，</w:t>
      </w:r>
      <w:r>
        <w:rPr>
          <w:rFonts w:hint="eastAsia" w:ascii="方正仿宋_GBK" w:hAnsi="方正仿宋_GBK" w:eastAsia="方正仿宋_GBK" w:cs="方正仿宋_GBK"/>
          <w:color w:val="121212"/>
          <w:sz w:val="21"/>
          <w:szCs w:val="21"/>
          <w:lang w:val="en-US" w:eastAsia="zh-CN"/>
        </w:rPr>
        <w:t>重新</w:t>
      </w:r>
      <w:r>
        <w:rPr>
          <w:rFonts w:hint="default" w:ascii="方正仿宋_GBK" w:hAnsi="方正仿宋_GBK" w:eastAsia="方正仿宋_GBK" w:cs="方正仿宋_GBK"/>
          <w:color w:val="121212"/>
          <w:sz w:val="21"/>
          <w:szCs w:val="21"/>
          <w:lang w:val="en-US" w:eastAsia="zh-CN"/>
        </w:rPr>
        <w:t>使用到需予以更换，或需予以修理时的连续正常运转的使用寿命不应少于三年，而当须进行总的拆卸来更换部件时，则该部件的使用寿命应不少于十年。所有的齿轮与轴承的设计使用寿命为100,000小时，其额定值至少为工作负荷的125%。</w:t>
      </w:r>
    </w:p>
    <w:p w14:paraId="5B98BC74">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w:t>
      </w:r>
      <w:r>
        <w:rPr>
          <w:rFonts w:hint="default" w:ascii="方正仿宋_GBK" w:hAnsi="方正仿宋_GBK" w:eastAsia="方正仿宋_GBK" w:cs="方正仿宋_GBK"/>
          <w:color w:val="121212"/>
          <w:sz w:val="21"/>
          <w:szCs w:val="21"/>
          <w:lang w:val="en-US" w:eastAsia="zh-CN"/>
        </w:rPr>
        <w:t xml:space="preserve"> 材料</w:t>
      </w:r>
    </w:p>
    <w:p w14:paraId="555D538F">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工程中所使用的材料必须是最适合该工作的，并应是新的</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一流的商业质量</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无缺陷且应选择使用寿命长</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维护要求低的材料。</w:t>
      </w:r>
    </w:p>
    <w:p w14:paraId="0A092E12">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w:t>
      </w:r>
      <w:r>
        <w:rPr>
          <w:rFonts w:hint="default" w:ascii="方正仿宋_GBK" w:hAnsi="方正仿宋_GBK" w:eastAsia="方正仿宋_GBK" w:cs="方正仿宋_GBK"/>
          <w:color w:val="121212"/>
          <w:sz w:val="21"/>
          <w:szCs w:val="21"/>
          <w:lang w:val="en-US" w:eastAsia="zh-CN"/>
        </w:rPr>
        <w:t xml:space="preserve"> 浇铸与锻造</w:t>
      </w:r>
    </w:p>
    <w:p w14:paraId="4BFFB87C">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所有的机加工面</w:t>
      </w:r>
      <w:r>
        <w:rPr>
          <w:rFonts w:hint="eastAsia" w:ascii="方正仿宋_GBK" w:hAnsi="方正仿宋_GBK" w:eastAsia="方正仿宋_GBK" w:cs="方正仿宋_GBK"/>
          <w:color w:val="121212"/>
          <w:sz w:val="21"/>
          <w:szCs w:val="21"/>
          <w:lang w:val="en-US" w:eastAsia="zh-CN"/>
        </w:rPr>
        <w:t>都</w:t>
      </w:r>
      <w:r>
        <w:rPr>
          <w:rFonts w:hint="default" w:ascii="方正仿宋_GBK" w:hAnsi="方正仿宋_GBK" w:eastAsia="方正仿宋_GBK" w:cs="方正仿宋_GBK"/>
          <w:color w:val="121212"/>
          <w:sz w:val="21"/>
          <w:szCs w:val="21"/>
          <w:lang w:val="en-US" w:eastAsia="zh-CN"/>
        </w:rPr>
        <w:t>是没有瑕疵的。浇铸件应是洁净的、准确的和轮廓鲜明的。所有的形状与尺寸的变化处理都应做成渐变的，带合适的圆角与倒角。</w:t>
      </w:r>
    </w:p>
    <w:p w14:paraId="71181DE7">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可锻铸铁不能用于任何需要承受工作应力的地方，在那些地方</w:t>
      </w:r>
      <w:r>
        <w:rPr>
          <w:rFonts w:hint="eastAsia" w:ascii="方正仿宋_GBK" w:hAnsi="方正仿宋_GBK" w:eastAsia="方正仿宋_GBK" w:cs="方正仿宋_GBK"/>
          <w:color w:val="121212"/>
          <w:sz w:val="21"/>
          <w:szCs w:val="21"/>
          <w:lang w:val="en-US" w:eastAsia="zh-CN"/>
        </w:rPr>
        <w:t>应</w:t>
      </w:r>
      <w:r>
        <w:rPr>
          <w:rFonts w:hint="default" w:ascii="方正仿宋_GBK" w:hAnsi="方正仿宋_GBK" w:eastAsia="方正仿宋_GBK" w:cs="方正仿宋_GBK"/>
          <w:color w:val="121212"/>
          <w:sz w:val="21"/>
          <w:szCs w:val="21"/>
          <w:lang w:val="en-US" w:eastAsia="zh-CN"/>
        </w:rPr>
        <w:t>使用铸钢。</w:t>
      </w:r>
    </w:p>
    <w:p w14:paraId="63C992D4">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根据规定，所有的浇铸件都应仔细地嵌填和揩擦，直到它具有一个良好的平滑表面，用以接受最后一道油漆工序。</w:t>
      </w:r>
    </w:p>
    <w:p w14:paraId="61C0BFEB">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w:t>
      </w:r>
      <w:r>
        <w:rPr>
          <w:rFonts w:hint="default" w:ascii="方正仿宋_GBK" w:hAnsi="方正仿宋_GBK" w:eastAsia="方正仿宋_GBK" w:cs="方正仿宋_GBK"/>
          <w:color w:val="121212"/>
          <w:sz w:val="21"/>
          <w:szCs w:val="21"/>
          <w:lang w:val="en-US" w:eastAsia="zh-CN"/>
        </w:rPr>
        <w:t xml:space="preserve"> 齿轮传动与齿轮箱</w:t>
      </w:r>
    </w:p>
    <w:p w14:paraId="0859F413">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 xml:space="preserve">4.1 </w:t>
      </w:r>
      <w:r>
        <w:rPr>
          <w:rFonts w:hint="default" w:ascii="方正仿宋_GBK" w:hAnsi="方正仿宋_GBK" w:eastAsia="方正仿宋_GBK" w:cs="方正仿宋_GBK"/>
          <w:color w:val="121212"/>
          <w:sz w:val="21"/>
          <w:szCs w:val="21"/>
          <w:lang w:val="en-US" w:eastAsia="zh-CN"/>
        </w:rPr>
        <w:t>所有的齿轮传动均应符合ISO、DIN的标准，所有的齿轮传动除非另有批准</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均应是全封闭式的。齿轮箱应按以下规定来设计和制造。</w:t>
      </w:r>
    </w:p>
    <w:p w14:paraId="434FA6A9">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（1）齿轮箱的所有接缝处须密封可靠</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以防止水与灰尘的进入和润滑剂的外流。</w:t>
      </w:r>
    </w:p>
    <w:p w14:paraId="4867CFB1">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（2）齿轮传动部件应便于检查和进行维修。</w:t>
      </w:r>
    </w:p>
    <w:p w14:paraId="4181121E">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（3）齿轮箱运行中温度上升不能影响设备的正常使用。</w:t>
      </w:r>
    </w:p>
    <w:p w14:paraId="3EC0BEFF">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4.2</w:t>
      </w:r>
      <w:r>
        <w:rPr>
          <w:rFonts w:hint="default" w:ascii="方正仿宋_GBK" w:hAnsi="方正仿宋_GBK" w:eastAsia="方正仿宋_GBK" w:cs="方正仿宋_GBK"/>
          <w:color w:val="121212"/>
          <w:sz w:val="21"/>
          <w:szCs w:val="21"/>
          <w:lang w:val="en-US" w:eastAsia="zh-CN"/>
        </w:rPr>
        <w:t>齿轮箱应具有：</w:t>
      </w:r>
    </w:p>
    <w:p w14:paraId="11F55FC9">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（1）刻度清楚的观察玻璃或量油尺，以显示流动的或静止的油位；</w:t>
      </w:r>
    </w:p>
    <w:p w14:paraId="41211EBD">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（2）装有便于操作的排放旋塞或塞阀</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并与排放装置联结；</w:t>
      </w:r>
    </w:p>
    <w:p w14:paraId="13BE78A4">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（3）一个带有用螺栓拧紧盖的检查孔，加油的接头与通气塞，如果需要的话，溢流与排放的接管应予以延伸以避免排出的油溢出。</w:t>
      </w:r>
    </w:p>
    <w:p w14:paraId="6538EA7C">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（4）为了吊装必须设置手柄或吊环。</w:t>
      </w:r>
    </w:p>
    <w:p w14:paraId="66B07047">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 xml:space="preserve">4.3 </w:t>
      </w:r>
      <w:r>
        <w:rPr>
          <w:rFonts w:hint="default" w:ascii="方正仿宋_GBK" w:hAnsi="方正仿宋_GBK" w:eastAsia="方正仿宋_GBK" w:cs="方正仿宋_GBK"/>
          <w:color w:val="121212"/>
          <w:sz w:val="21"/>
          <w:szCs w:val="21"/>
          <w:lang w:val="en-US" w:eastAsia="zh-CN"/>
        </w:rPr>
        <w:t>在传动装置的调整工作完成后，每个齿轮箱应在它的底板上用圆锥销定位。</w:t>
      </w:r>
    </w:p>
    <w:p w14:paraId="4AD489A4">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5</w:t>
      </w:r>
      <w:r>
        <w:rPr>
          <w:rFonts w:hint="default" w:ascii="方正仿宋_GBK" w:hAnsi="方正仿宋_GBK" w:eastAsia="方正仿宋_GBK" w:cs="方正仿宋_GBK"/>
          <w:color w:val="121212"/>
          <w:sz w:val="21"/>
          <w:szCs w:val="21"/>
          <w:lang w:val="en-US" w:eastAsia="zh-CN"/>
        </w:rPr>
        <w:t xml:space="preserve"> 焊接</w:t>
      </w:r>
    </w:p>
    <w:p w14:paraId="6D15A054">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如果焊接点需承受高应力时，则</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应在加工制作开始之前，把那些焊接的详图以及所建议焊接的准备工作提供给买方。</w:t>
      </w:r>
    </w:p>
    <w:p w14:paraId="3F65D26E">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在进行机械加工之前，焊接件均应予以消除应力。</w:t>
      </w:r>
    </w:p>
    <w:p w14:paraId="6E933EF1">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6 平衡</w:t>
      </w:r>
    </w:p>
    <w:p w14:paraId="49983332">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所有的旋转部分均应作适当的静态与动态平衡，以使在正常全速运转</w:t>
      </w:r>
      <w:r>
        <w:rPr>
          <w:rFonts w:hint="eastAsia" w:ascii="方正仿宋_GBK" w:hAnsi="方正仿宋_GBK" w:eastAsia="方正仿宋_GBK" w:cs="方正仿宋_GBK"/>
          <w:color w:val="121212"/>
          <w:sz w:val="21"/>
          <w:szCs w:val="21"/>
          <w:lang w:val="en-US" w:eastAsia="zh-CN"/>
        </w:rPr>
        <w:t>以及</w:t>
      </w:r>
      <w:r>
        <w:rPr>
          <w:rFonts w:hint="default" w:ascii="方正仿宋_GBK" w:hAnsi="方正仿宋_GBK" w:eastAsia="方正仿宋_GBK" w:cs="方正仿宋_GBK"/>
          <w:color w:val="121212"/>
          <w:sz w:val="21"/>
          <w:szCs w:val="21"/>
          <w:lang w:val="en-US" w:eastAsia="zh-CN"/>
        </w:rPr>
        <w:t>在最险峻的负荷条件时，均不应在设备中</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车间中或在周围的附近处，出现过分的振动。</w:t>
      </w:r>
    </w:p>
    <w:p w14:paraId="20FF6907">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所有旋转部分应精细加工，以保证机组的动态平衡。</w:t>
      </w:r>
    </w:p>
    <w:p w14:paraId="16BC572F">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按产品技术标准验收，</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应负责更换部件，以使买方代表满意。同时，与之有关的一切费用皆由</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自己支付。</w:t>
      </w:r>
    </w:p>
    <w:p w14:paraId="47EA7740">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对于大型设备及其附件，应保证不会在正常操作速度下引起共振。</w:t>
      </w:r>
    </w:p>
    <w:p w14:paraId="6067CFF6">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7 互换性</w:t>
      </w:r>
    </w:p>
    <w:p w14:paraId="3B06C654">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设备的所有类似组件总体上应具备良好的互换性，其零部件也应如此。</w:t>
      </w:r>
    </w:p>
    <w:p w14:paraId="57E1E93E">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所供应的设备类型必须在可行范围内</w:t>
      </w:r>
      <w:r>
        <w:rPr>
          <w:rFonts w:hint="eastAsia" w:ascii="方正仿宋_GBK" w:hAnsi="方正仿宋_GBK" w:eastAsia="方正仿宋_GBK" w:cs="方正仿宋_GBK"/>
          <w:color w:val="121212"/>
          <w:sz w:val="21"/>
          <w:szCs w:val="21"/>
          <w:lang w:val="en-US" w:eastAsia="zh-CN"/>
        </w:rPr>
        <w:t>适用</w:t>
      </w:r>
      <w:r>
        <w:rPr>
          <w:rFonts w:hint="default" w:ascii="方正仿宋_GBK" w:hAnsi="方正仿宋_GBK" w:eastAsia="方正仿宋_GBK" w:cs="方正仿宋_GBK"/>
          <w:color w:val="121212"/>
          <w:sz w:val="21"/>
          <w:szCs w:val="21"/>
          <w:lang w:val="en-US" w:eastAsia="zh-CN"/>
        </w:rPr>
        <w:t>于标准化，零部件具备最大的互换性。</w:t>
      </w:r>
    </w:p>
    <w:p w14:paraId="412C9F6B">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所有设备构件的尺寸单位一般应采用公制单位。</w:t>
      </w:r>
    </w:p>
    <w:p w14:paraId="2E5AFF19">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8 噪音控制</w:t>
      </w:r>
    </w:p>
    <w:p w14:paraId="6979E62C">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应注意保证所提供的设备在运转时无异常噪声，并满足环保验收要求。</w:t>
      </w:r>
    </w:p>
    <w:p w14:paraId="0B18489B">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9 润滑和清洗</w:t>
      </w:r>
    </w:p>
    <w:p w14:paraId="10E61275">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为了进行定期的检查与清洗，以及活动部件加注润滑油，应</w:t>
      </w:r>
      <w:r>
        <w:rPr>
          <w:rFonts w:hint="eastAsia" w:ascii="方正仿宋_GBK" w:hAnsi="方正仿宋_GBK" w:eastAsia="方正仿宋_GBK" w:cs="方正仿宋_GBK"/>
          <w:color w:val="121212"/>
          <w:sz w:val="21"/>
          <w:szCs w:val="21"/>
          <w:lang w:val="en-US" w:eastAsia="zh-CN"/>
        </w:rPr>
        <w:t>做</w:t>
      </w:r>
      <w:r>
        <w:rPr>
          <w:rFonts w:hint="default" w:ascii="方正仿宋_GBK" w:hAnsi="方正仿宋_GBK" w:eastAsia="方正仿宋_GBK" w:cs="方正仿宋_GBK"/>
          <w:color w:val="121212"/>
          <w:sz w:val="21"/>
          <w:szCs w:val="21"/>
          <w:lang w:val="en-US" w:eastAsia="zh-CN"/>
        </w:rPr>
        <w:t>适当的布局安排。</w:t>
      </w:r>
    </w:p>
    <w:p w14:paraId="01FCCDBB">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应尽可能安排使整个设备中需加注润滑脂或油的</w:t>
      </w:r>
      <w:r>
        <w:rPr>
          <w:rFonts w:hint="eastAsia" w:ascii="方正仿宋_GBK" w:hAnsi="方正仿宋_GBK" w:eastAsia="方正仿宋_GBK" w:cs="方正仿宋_GBK"/>
          <w:color w:val="121212"/>
          <w:sz w:val="21"/>
          <w:szCs w:val="21"/>
          <w:lang w:val="en-US" w:eastAsia="zh-CN"/>
        </w:rPr>
        <w:t>那些</w:t>
      </w:r>
      <w:r>
        <w:rPr>
          <w:rFonts w:hint="default" w:ascii="方正仿宋_GBK" w:hAnsi="方正仿宋_GBK" w:eastAsia="方正仿宋_GBK" w:cs="方正仿宋_GBK"/>
          <w:color w:val="121212"/>
          <w:sz w:val="21"/>
          <w:szCs w:val="21"/>
          <w:lang w:val="en-US" w:eastAsia="zh-CN"/>
        </w:rPr>
        <w:t>部分仅使用同一个等级或类型的润滑剂。</w:t>
      </w:r>
    </w:p>
    <w:p w14:paraId="55804160">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需要周期性加注润滑脂的机械装置的所有轴承座，均应具有经批准类型的加油嘴，如果需要的话，可将它们通过延伸管引出到一个便于到达的位置上，用于加润滑脂的必需的手动压注机或加油泵应与工具和备件同时提供。</w:t>
      </w:r>
    </w:p>
    <w:p w14:paraId="70DC7287">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应提供必需的润滑剂，用于设备在发送前的测试，以及在现场完全交付使用时使用。</w:t>
      </w:r>
    </w:p>
    <w:p w14:paraId="7799E822">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应用适当的金属盛器来装盛足够用24个月的，适用于装置不同部件的</w:t>
      </w:r>
      <w:r>
        <w:rPr>
          <w:rFonts w:hint="eastAsia" w:ascii="方正仿宋_GBK" w:hAnsi="方正仿宋_GBK" w:eastAsia="方正仿宋_GBK" w:cs="方正仿宋_GBK"/>
          <w:color w:val="121212"/>
          <w:sz w:val="21"/>
          <w:szCs w:val="21"/>
          <w:lang w:val="en-US" w:eastAsia="zh-CN"/>
        </w:rPr>
        <w:t>、</w:t>
      </w:r>
      <w:r>
        <w:rPr>
          <w:rFonts w:hint="default" w:ascii="方正仿宋_GBK" w:hAnsi="方正仿宋_GBK" w:eastAsia="方正仿宋_GBK" w:cs="方正仿宋_GBK"/>
          <w:color w:val="121212"/>
          <w:sz w:val="21"/>
          <w:szCs w:val="21"/>
          <w:lang w:val="en-US" w:eastAsia="zh-CN"/>
        </w:rPr>
        <w:t>推荐等级的各种润滑油及脂，提供并运至买方的仓库。</w:t>
      </w:r>
      <w:r>
        <w:rPr>
          <w:rFonts w:hint="eastAsia" w:ascii="方正仿宋_GBK" w:hAnsi="方正仿宋_GBK" w:eastAsia="方正仿宋_GBK" w:cs="方正仿宋_GBK"/>
          <w:color w:val="121212"/>
          <w:sz w:val="21"/>
          <w:szCs w:val="21"/>
          <w:lang w:val="en-US" w:eastAsia="zh-CN"/>
        </w:rPr>
        <w:t>哪些</w:t>
      </w:r>
      <w:r>
        <w:rPr>
          <w:rFonts w:hint="default" w:ascii="方正仿宋_GBK" w:hAnsi="方正仿宋_GBK" w:eastAsia="方正仿宋_GBK" w:cs="方正仿宋_GBK"/>
          <w:color w:val="121212"/>
          <w:sz w:val="21"/>
          <w:szCs w:val="21"/>
          <w:lang w:val="en-US" w:eastAsia="zh-CN"/>
        </w:rPr>
        <w:t>润滑剂应列入备件和工具的一览表内。</w:t>
      </w:r>
    </w:p>
    <w:p w14:paraId="271A499D">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10 铭牌、标志与电路原理牌</w:t>
      </w:r>
    </w:p>
    <w:p w14:paraId="699DE7B1">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每台机器和所有的其它设备均应具有一个金属的铭牌板，用认可的方式固定，以中文或英文把制造商的名称、编号以及全部工作特性或输出功率、速度、压力、制造日期等清楚地表明在上面。</w:t>
      </w:r>
    </w:p>
    <w:p w14:paraId="45F74CE4">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当所提供的设备的厂名牌可能设在一个不方便的部位时，如浸没式泵，那么</w:t>
      </w: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应提供另外一个把详细情况综合在一起的厂铭牌，并应装订在邻近于该设备的控制板处。</w:t>
      </w:r>
    </w:p>
    <w:p w14:paraId="4715B3B8">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所有的标志，电路原理牌等应以中文和英文雕刻，中文应刻在英文的上方。</w:t>
      </w:r>
    </w:p>
    <w:p w14:paraId="46FDC4EF">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所有的绝缘器，起动装置，开关或保险熔丝以及其它电气设备应清楚地加以标明，以示该单元的功能，而在单相设备的情况时，则表明该设备是连接到那一相的。</w:t>
      </w:r>
    </w:p>
    <w:p w14:paraId="79AEEE99">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内部设备的标志应在白底上刻以黑色的正楷大写体，并应以螺栓把它固定在电气设备的外表面上。</w:t>
      </w:r>
    </w:p>
    <w:p w14:paraId="66588B04">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不受气候影响的开关盘，室外绝缘器等应如上述一样固定雕刻好的标志。</w:t>
      </w:r>
    </w:p>
    <w:p w14:paraId="0D232569">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对在保险熔丝器板上的电路原理标牌应在该熔丝器板上，如上述所规定的那样表明。每个电路均应加以签定和识别。</w:t>
      </w:r>
    </w:p>
    <w:p w14:paraId="51B5CA3F">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在警告标志上的字样应以“危险”二字开始，并以红底白字用中英文书写。</w:t>
      </w:r>
    </w:p>
    <w:p w14:paraId="45441C19">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11</w:t>
      </w:r>
      <w:r>
        <w:rPr>
          <w:rFonts w:hint="default" w:ascii="方正仿宋_GBK" w:hAnsi="方正仿宋_GBK" w:eastAsia="方正仿宋_GBK" w:cs="方正仿宋_GBK"/>
          <w:color w:val="121212"/>
          <w:sz w:val="21"/>
          <w:szCs w:val="21"/>
          <w:lang w:val="en-US" w:eastAsia="zh-CN"/>
        </w:rPr>
        <w:t xml:space="preserve"> 螺母、螺钉、垫圈和螺栓</w:t>
      </w:r>
    </w:p>
    <w:p w14:paraId="1D25A847">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粗制螺栓，螺钉和螺母应符合ISO225、ISO272、ISO885、ISO888和ISO4759/1。粗制六角螺栓，螺钉和螺母应符合ISO272，ISO4759/1 8.8级。垫圈应符合ISO/R887，并使用在所有螺母，六角螺栓和螺钉之下。</w:t>
      </w:r>
    </w:p>
    <w:p w14:paraId="3A2BACDE">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所有的螺栓，螺钉，螺母，垫圈应为奥氏体不锈钢。</w:t>
      </w:r>
    </w:p>
    <w:p w14:paraId="224BD88C">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螺栓长度在螺母旋紧后应露头2～3牙。</w:t>
      </w:r>
    </w:p>
    <w:p w14:paraId="3A2A306F">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12</w:t>
      </w:r>
      <w:r>
        <w:rPr>
          <w:rFonts w:hint="default" w:ascii="方正仿宋_GBK" w:hAnsi="方正仿宋_GBK" w:eastAsia="方正仿宋_GBK" w:cs="方正仿宋_GBK"/>
          <w:color w:val="121212"/>
          <w:sz w:val="21"/>
          <w:szCs w:val="21"/>
          <w:lang w:val="en-US" w:eastAsia="zh-CN"/>
        </w:rPr>
        <w:t xml:space="preserve"> 备件</w:t>
      </w:r>
    </w:p>
    <w:p w14:paraId="60F40F83">
      <w:pPr>
        <w:widowControl w:val="0"/>
        <w:rPr>
          <w:rFonts w:hint="default" w:ascii="方正仿宋_GBK" w:hAnsi="方正仿宋_GBK" w:eastAsia="方正仿宋_GBK" w:cs="方正仿宋_GBK"/>
          <w:color w:val="121212"/>
          <w:sz w:val="21"/>
          <w:szCs w:val="21"/>
          <w:lang w:val="en-US" w:eastAsia="zh-CN"/>
        </w:rPr>
      </w:pPr>
      <w:r>
        <w:rPr>
          <w:rFonts w:hint="default" w:ascii="方正仿宋_GBK" w:hAnsi="方正仿宋_GBK" w:eastAsia="方正仿宋_GBK" w:cs="方正仿宋_GBK"/>
          <w:color w:val="121212"/>
          <w:sz w:val="21"/>
          <w:szCs w:val="21"/>
          <w:lang w:val="en-US" w:eastAsia="zh-CN"/>
        </w:rPr>
        <w:t>备件应包括零配件、专用工具、润滑剂等运行所必需的物品。</w:t>
      </w:r>
    </w:p>
    <w:p w14:paraId="60EB847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供货方</w:t>
      </w:r>
      <w:r>
        <w:rPr>
          <w:rFonts w:hint="default" w:ascii="方正仿宋_GBK" w:hAnsi="方正仿宋_GBK" w:eastAsia="方正仿宋_GBK" w:cs="方正仿宋_GBK"/>
          <w:color w:val="121212"/>
          <w:sz w:val="21"/>
          <w:szCs w:val="21"/>
          <w:lang w:val="en-US" w:eastAsia="zh-CN"/>
        </w:rPr>
        <w:t>应当提供本合同规定的所有备件，这些备件应满足在买方工程验收后设备的连续运行</w:t>
      </w:r>
      <w:r>
        <w:rPr>
          <w:rFonts w:hint="eastAsia" w:ascii="方正仿宋_GBK" w:hAnsi="方正仿宋_GBK" w:eastAsia="方正仿宋_GBK" w:cs="方正仿宋_GBK"/>
          <w:color w:val="121212"/>
          <w:sz w:val="21"/>
          <w:szCs w:val="21"/>
          <w:lang w:val="en-US" w:eastAsia="zh-CN"/>
        </w:rPr>
        <w:t>12</w:t>
      </w:r>
      <w:r>
        <w:rPr>
          <w:rFonts w:hint="default" w:ascii="方正仿宋_GBK" w:hAnsi="方正仿宋_GBK" w:eastAsia="方正仿宋_GBK" w:cs="方正仿宋_GBK"/>
          <w:color w:val="121212"/>
          <w:sz w:val="21"/>
          <w:szCs w:val="21"/>
          <w:lang w:val="en-US" w:eastAsia="zh-CN"/>
        </w:rPr>
        <w:t>个月之用。</w:t>
      </w:r>
    </w:p>
    <w:p w14:paraId="669C7B5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②.</w:t>
      </w:r>
      <w:r>
        <w:rPr>
          <w:rFonts w:hint="eastAsia" w:ascii="方正仿宋_GBK" w:hAnsi="方正仿宋_GBK" w:eastAsia="方正仿宋_GBK" w:cs="方正仿宋_GBK"/>
          <w:color w:val="121212"/>
          <w:sz w:val="21"/>
          <w:szCs w:val="21"/>
          <w:lang w:eastAsia="zh-CN"/>
        </w:rPr>
        <w:t>便携式仪器</w:t>
      </w:r>
    </w:p>
    <w:p w14:paraId="2F45909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应满足连续作业</w:t>
      </w:r>
      <w:r>
        <w:rPr>
          <w:rFonts w:hint="eastAsia" w:ascii="方正仿宋_GBK" w:hAnsi="方正仿宋_GBK" w:eastAsia="方正仿宋_GBK" w:cs="方正仿宋_GBK"/>
          <w:color w:val="121212"/>
          <w:sz w:val="21"/>
          <w:szCs w:val="21"/>
          <w:lang w:val="en-US" w:eastAsia="zh-CN"/>
        </w:rPr>
        <w:t>8</w:t>
      </w:r>
      <w:r>
        <w:rPr>
          <w:rFonts w:hint="eastAsia" w:ascii="方正仿宋_GBK" w:hAnsi="方正仿宋_GBK" w:eastAsia="方正仿宋_GBK" w:cs="方正仿宋_GBK"/>
          <w:color w:val="121212"/>
          <w:sz w:val="21"/>
          <w:szCs w:val="21"/>
          <w:lang w:eastAsia="zh-CN"/>
        </w:rPr>
        <w:t>小时以上的电池续航能力，并配备充电器或可更换电池。</w:t>
      </w:r>
    </w:p>
    <w:p w14:paraId="62C26A5F">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仪器应具备数据存储及导出功能（USB或蓝牙），便于现场记录及后期分析。</w:t>
      </w:r>
    </w:p>
    <w:p w14:paraId="181FC5CF">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仪器外壳应有防摔、防尘、防水设计（至少IP</w:t>
      </w:r>
      <w:r>
        <w:rPr>
          <w:rFonts w:hint="eastAsia" w:ascii="方正仿宋_GBK" w:hAnsi="方正仿宋_GBK" w:eastAsia="方正仿宋_GBK" w:cs="方正仿宋_GBK"/>
          <w:color w:val="121212"/>
          <w:sz w:val="21"/>
          <w:szCs w:val="21"/>
          <w:lang w:val="en-US" w:eastAsia="zh-CN"/>
        </w:rPr>
        <w:t>54</w:t>
      </w:r>
      <w:r>
        <w:rPr>
          <w:rFonts w:hint="eastAsia" w:ascii="方正仿宋_GBK" w:hAnsi="方正仿宋_GBK" w:eastAsia="方正仿宋_GBK" w:cs="方正仿宋_GBK"/>
          <w:color w:val="121212"/>
          <w:sz w:val="21"/>
          <w:szCs w:val="21"/>
          <w:lang w:eastAsia="zh-CN"/>
        </w:rPr>
        <w:t>等级）。</w:t>
      </w:r>
    </w:p>
    <w:p w14:paraId="3C5F9B4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气体检测仪应具备防爆认证，并提供有效期内的防爆合格证。</w:t>
      </w:r>
    </w:p>
    <w:p w14:paraId="3D9CE99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所有仪器应提供中文操作手册及快速使用指南。</w:t>
      </w:r>
    </w:p>
    <w:p w14:paraId="1DF7BBAF">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质保期内提供一次免费校准服务。</w:t>
      </w:r>
    </w:p>
    <w:p w14:paraId="46244A3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管道内窥镜应满足连续作业要求，整机设计使用寿命不低于</w:t>
      </w:r>
      <w:r>
        <w:rPr>
          <w:rFonts w:hint="eastAsia" w:ascii="方正仿宋_GBK" w:hAnsi="方正仿宋_GBK" w:eastAsia="方正仿宋_GBK" w:cs="方正仿宋_GBK"/>
          <w:color w:val="121212"/>
          <w:sz w:val="21"/>
          <w:szCs w:val="21"/>
          <w:lang w:val="en-US" w:eastAsia="zh-CN"/>
        </w:rPr>
        <w:t>8</w:t>
      </w:r>
      <w:r>
        <w:rPr>
          <w:rFonts w:hint="eastAsia" w:ascii="方正仿宋_GBK" w:hAnsi="方正仿宋_GBK" w:eastAsia="方正仿宋_GBK" w:cs="方正仿宋_GBK"/>
          <w:color w:val="121212"/>
          <w:sz w:val="21"/>
          <w:szCs w:val="21"/>
          <w:lang w:eastAsia="zh-CN"/>
        </w:rPr>
        <w:t>年。</w:t>
      </w:r>
    </w:p>
    <w:p w14:paraId="43F36018">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成像系统：采用高清CMOS图像传感器，像素不低于100万像素，主机显示屏分辨率不低于1024×768（4英寸以上液晶屏），支持拍照和录像功能，图像格式支持JPEG/MP4，具备图像冻结、回放及缩放功能。镜头视场角≥100°，景深范围5mm至无穷远，可清晰识别0.1mm级表面缺陷（如轻微腐蚀、焊缝凸起等）-5-1。</w:t>
      </w:r>
    </w:p>
    <w:p w14:paraId="71DD7188">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探头规格：探头直径不大于10mm，可适配DN50及以上管径管道检测。插入管材质采用不锈钢编织网或钨丝编织材质，具有柔韧性、耐磨、耐腐蚀性能-1-。插入管长度由供应商根据采购方实际需求提供（一般不低于10米），设备应具备推索式或手持式检测线结构。</w:t>
      </w:r>
    </w:p>
    <w:p w14:paraId="7D9D7C1C">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照明系统：探头前端应配备高亮度LED照明灯，亮度可调（不少于4级亮度调节），确保在黑暗管道内能够清晰成像-1-21。</w:t>
      </w:r>
    </w:p>
    <w:p w14:paraId="5C9A46C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防护等级：探头及插入管部分防护等级不低于IP67，主机防护等级不低于IP54，适应潮湿、多尘环境作业-1-5。</w:t>
      </w:r>
    </w:p>
    <w:p w14:paraId="7948DECF">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工作环境：设备应在-20℃至70℃环境下正常工作，存储环境温度-20℃至70℃，相对湿度RH≤95%-1-。</w:t>
      </w:r>
    </w:p>
    <w:p w14:paraId="65BC38E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存储与数据导出：配备SD卡或同等存储介质，存储容量不小于16GB，支持USB数据导出接口-1。</w:t>
      </w:r>
    </w:p>
    <w:p w14:paraId="30E8F729">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电源：内置可充电锂电池供电，连续工作时间不少于4小时，支持外接电源供电。</w:t>
      </w:r>
    </w:p>
    <w:p w14:paraId="6AF3FC92">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测量功能（推荐） ：可选配激光测距或标尺测量功能，能够对管道内部缺陷（裂缝长度、宽度等）进行定量测量，测量误差≤5%。</w:t>
      </w:r>
    </w:p>
    <w:p w14:paraId="605CEEB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操作与控制：主机应采用一体化手持设计，配备高清显示屏，操作界面支持中文菜单。具备拍照、录像、回放功能，支持实时图像显示。</w:t>
      </w:r>
    </w:p>
    <w:p w14:paraId="61094A8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辅助功能：设备应配备足够的运载装置或推索机构，以适应不同直径和走向的管道检测需求-21。检测线具有柔韧性，能够适应管道弯曲，探头转向能力应满足基本检测需求。</w:t>
      </w:r>
    </w:p>
    <w:p w14:paraId="1C2A251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③</w:t>
      </w:r>
      <w:r>
        <w:rPr>
          <w:rFonts w:hint="eastAsia" w:ascii="方正仿宋_GBK" w:hAnsi="方正仿宋_GBK" w:eastAsia="方正仿宋_GBK" w:cs="方正仿宋_GBK"/>
          <w:color w:val="121212"/>
          <w:sz w:val="21"/>
          <w:szCs w:val="21"/>
          <w:lang w:eastAsia="zh-CN"/>
        </w:rPr>
        <w:t>罗茨鼓风机</w:t>
      </w:r>
    </w:p>
    <w:p w14:paraId="52E4C4D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可以连续24小时运行，低转速设计。鼓风机在设计条件下运行平稳，整机设计使用寿命为30年，</w:t>
      </w:r>
      <w:r>
        <w:rPr>
          <w:rFonts w:hint="eastAsia" w:ascii="方正仿宋_GBK" w:hAnsi="方正仿宋_GBK" w:eastAsia="方正仿宋_GBK" w:cs="方正仿宋_GBK"/>
          <w:color w:val="121212"/>
          <w:sz w:val="21"/>
          <w:szCs w:val="21"/>
          <w:lang w:val="en-US" w:eastAsia="zh-CN"/>
        </w:rPr>
        <w:t>提供ROSH认证</w:t>
      </w:r>
      <w:r>
        <w:rPr>
          <w:rFonts w:hint="eastAsia" w:ascii="方正仿宋_GBK" w:hAnsi="方正仿宋_GBK" w:eastAsia="方正仿宋_GBK" w:cs="方正仿宋_GBK"/>
          <w:color w:val="121212"/>
          <w:sz w:val="21"/>
          <w:szCs w:val="21"/>
          <w:lang w:eastAsia="zh-CN"/>
        </w:rPr>
        <w:t>。</w:t>
      </w:r>
    </w:p>
    <w:p w14:paraId="389BBB91">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鼓风机的设计需考虑气流同步性以便两台或多台鼓风机能并联运行。在并联运行条件下，每台鼓风机需要并使每台鼓风机出口压力的安全余度保持相同，任何单台鼓风机的启动和停车不会影响其他鼓风机的气量变化。</w:t>
      </w:r>
    </w:p>
    <w:p w14:paraId="60833EB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1.</w:t>
      </w:r>
      <w:r>
        <w:rPr>
          <w:rFonts w:hint="eastAsia" w:ascii="方正仿宋_GBK" w:hAnsi="方正仿宋_GBK" w:eastAsia="方正仿宋_GBK" w:cs="方正仿宋_GBK"/>
          <w:color w:val="121212"/>
          <w:sz w:val="21"/>
          <w:szCs w:val="21"/>
          <w:lang w:eastAsia="zh-CN"/>
        </w:rPr>
        <w:t>油封：在油封座处采用橡胶骨架油封。</w:t>
      </w:r>
    </w:p>
    <w:p w14:paraId="289BA4DB">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壳体：高强度HT2</w:t>
      </w:r>
      <w:r>
        <w:rPr>
          <w:rFonts w:hint="eastAsia" w:ascii="方正仿宋_GBK" w:hAnsi="方正仿宋_GBK" w:eastAsia="方正仿宋_GBK" w:cs="方正仿宋_GBK"/>
          <w:color w:val="121212"/>
          <w:sz w:val="21"/>
          <w:szCs w:val="21"/>
          <w:lang w:val="en-US" w:eastAsia="zh-CN"/>
        </w:rPr>
        <w:t>5</w:t>
      </w:r>
      <w:r>
        <w:rPr>
          <w:rFonts w:hint="eastAsia" w:ascii="方正仿宋_GBK" w:hAnsi="方正仿宋_GBK" w:eastAsia="方正仿宋_GBK" w:cs="方正仿宋_GBK"/>
          <w:color w:val="121212"/>
          <w:sz w:val="21"/>
          <w:szCs w:val="21"/>
          <w:lang w:eastAsia="zh-CN"/>
        </w:rPr>
        <w:t>0及以上材料整体铸造壳体，确保转子不会偏离，提供稳定的气量。</w:t>
      </w:r>
    </w:p>
    <w:p w14:paraId="2B73C11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轴封：采用V型密封。</w:t>
      </w:r>
    </w:p>
    <w:p w14:paraId="0F3CE1A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传动齿轮：20CrMnTi及以上材质斜齿轮，提供稳定、低噪声的精确传动。</w:t>
      </w:r>
    </w:p>
    <w:p w14:paraId="59DD500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2.</w:t>
      </w:r>
      <w:r>
        <w:rPr>
          <w:rFonts w:hint="eastAsia" w:ascii="方正仿宋_GBK" w:hAnsi="方正仿宋_GBK" w:eastAsia="方正仿宋_GBK" w:cs="方正仿宋_GBK"/>
          <w:color w:val="121212"/>
          <w:sz w:val="21"/>
          <w:szCs w:val="21"/>
          <w:lang w:eastAsia="zh-CN"/>
        </w:rPr>
        <w:t>转子：扭叶转子，持续进风，经时效处理、精密加工和研磨以达到应有的尺寸，不需要涂层处理，不存在涂层脱落的可能。这意味着没有间隙值的改变，机器的效率和吸入流量就不会随时间推移，涂层脱落，间隙改变而改变。轴具有足够的尺寸，以承受各种运行条件下连接运行所产生的全部荷载。扭叶转子组装前，动平衡试验的精度应达到2.5级，提供制造厂承诺书。</w:t>
      </w:r>
    </w:p>
    <w:p w14:paraId="7AD6FC6F">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3.</w:t>
      </w:r>
      <w:r>
        <w:rPr>
          <w:rFonts w:hint="eastAsia" w:ascii="方正仿宋_GBK" w:hAnsi="方正仿宋_GBK" w:eastAsia="方正仿宋_GBK" w:cs="方正仿宋_GBK"/>
          <w:color w:val="121212"/>
          <w:sz w:val="21"/>
          <w:szCs w:val="21"/>
          <w:lang w:eastAsia="zh-CN"/>
        </w:rPr>
        <w:t>轴承：齿轮是罗茨鼓风机的最重要零件之一，20CrMnTi材质。</w:t>
      </w:r>
    </w:p>
    <w:p w14:paraId="062E7A22">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4.</w:t>
      </w:r>
      <w:r>
        <w:rPr>
          <w:rFonts w:hint="eastAsia" w:ascii="方正仿宋_GBK" w:hAnsi="方正仿宋_GBK" w:eastAsia="方正仿宋_GBK" w:cs="方正仿宋_GBK"/>
          <w:color w:val="121212"/>
          <w:sz w:val="21"/>
          <w:szCs w:val="21"/>
          <w:lang w:eastAsia="zh-CN"/>
        </w:rPr>
        <w:t>入口过滤消声器：入口消音器采用阻性消声器，主要消除鼓风机进口气流噪声，由外筒、内筒，法兰等件组成，内外筒之间放入离心玻璃棉吸声材料。</w:t>
      </w:r>
    </w:p>
    <w:p w14:paraId="662E3C4C">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5.</w:t>
      </w:r>
      <w:r>
        <w:rPr>
          <w:rFonts w:hint="eastAsia" w:ascii="方正仿宋_GBK" w:hAnsi="方正仿宋_GBK" w:eastAsia="方正仿宋_GBK" w:cs="方正仿宋_GBK"/>
          <w:color w:val="121212"/>
          <w:sz w:val="21"/>
          <w:szCs w:val="21"/>
          <w:lang w:eastAsia="zh-CN"/>
        </w:rPr>
        <w:t>止回阀：在出风管路应提供一个法兰连接的空气止回阀，阀体为铸铁或更佳材质制造，其构造应适合于空气流体的使用及操作。</w:t>
      </w:r>
    </w:p>
    <w:p w14:paraId="27E33B42">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耐温≥120℃，是用以防止停机时系统高压气体倒流，使鼓风机转子反转，发生故障，同时防止系统灰尘倒流。鼓风机在额定流量通过阀门时，其压力损失小。</w:t>
      </w:r>
    </w:p>
    <w:p w14:paraId="10D67CC0">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7.</w:t>
      </w:r>
      <w:r>
        <w:rPr>
          <w:rFonts w:hint="eastAsia" w:ascii="方正仿宋_GBK" w:hAnsi="方正仿宋_GBK" w:eastAsia="方正仿宋_GBK" w:cs="方正仿宋_GBK"/>
          <w:color w:val="121212"/>
          <w:sz w:val="21"/>
          <w:szCs w:val="21"/>
          <w:lang w:eastAsia="zh-CN"/>
        </w:rPr>
        <w:t>出口消声器：出口消音器主要消除鼓风机出口气流噪声，消声频带宽。</w:t>
      </w:r>
    </w:p>
    <w:p w14:paraId="78C20A6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8.</w:t>
      </w:r>
      <w:r>
        <w:rPr>
          <w:rFonts w:hint="eastAsia" w:ascii="方正仿宋_GBK" w:hAnsi="方正仿宋_GBK" w:eastAsia="方正仿宋_GBK" w:cs="方正仿宋_GBK"/>
          <w:color w:val="121212"/>
          <w:sz w:val="21"/>
          <w:szCs w:val="21"/>
          <w:lang w:eastAsia="zh-CN"/>
        </w:rPr>
        <w:t>出口弹性接头：耐温≥120℃。安装在风机出口处。</w:t>
      </w:r>
    </w:p>
    <w:p w14:paraId="07647FB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9.泄压阀：</w:t>
      </w:r>
      <w:r>
        <w:rPr>
          <w:rFonts w:hint="eastAsia" w:ascii="方正仿宋_GBK" w:hAnsi="方正仿宋_GBK" w:eastAsia="方正仿宋_GBK" w:cs="方正仿宋_GBK"/>
          <w:color w:val="121212"/>
          <w:sz w:val="21"/>
          <w:szCs w:val="21"/>
          <w:lang w:eastAsia="zh-CN"/>
        </w:rPr>
        <w:t>泄压阀是系统上的一个保险装置，其开启压力范围为0~1kg/cm2,当系统工作状况异常，阻力高于额定值时，泄压阀开启，将气体从安全阀排出，防止风机和电机过载。泄压阀主要用于防止管路堵塞，负载增加引起的风机过载。如泄压阀启动后，长时间不恢复闭合，则需要停机，待系统故障排除后，再开机工作。</w:t>
      </w:r>
    </w:p>
    <w:p w14:paraId="298E2D0C">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10.</w:t>
      </w:r>
      <w:r>
        <w:rPr>
          <w:rFonts w:hint="eastAsia" w:ascii="方正仿宋_GBK" w:hAnsi="方正仿宋_GBK" w:eastAsia="方正仿宋_GBK" w:cs="方正仿宋_GBK"/>
          <w:color w:val="121212"/>
          <w:sz w:val="21"/>
          <w:szCs w:val="21"/>
          <w:lang w:eastAsia="zh-CN"/>
        </w:rPr>
        <w:t>电机：电机功率大于最高温度工况下风机的轴功率。电源：380V/3phases/50Hz,2poles,工作方式：24小时连续运转。</w:t>
      </w:r>
    </w:p>
    <w:p w14:paraId="6B2D1EF1">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val="en-US" w:eastAsia="zh-CN"/>
        </w:rPr>
        <w:t>11.</w:t>
      </w:r>
      <w:r>
        <w:rPr>
          <w:rFonts w:hint="eastAsia" w:ascii="方正仿宋_GBK" w:hAnsi="方正仿宋_GBK" w:eastAsia="方正仿宋_GBK" w:cs="方正仿宋_GBK"/>
          <w:color w:val="121212"/>
          <w:sz w:val="21"/>
          <w:szCs w:val="21"/>
          <w:lang w:eastAsia="zh-CN"/>
        </w:rPr>
        <w:t>电气与控制：电机应根据IEC标准制造，电机的防护等级为IP55，绝缘等级F级，温升等级B级，电源为380V+/-10%，3相，50Hz+/-2%，能效IE3等级。</w:t>
      </w:r>
    </w:p>
    <w:p w14:paraId="608695EE">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④超声波明渠流量计</w:t>
      </w:r>
    </w:p>
    <w:p w14:paraId="3C54A43E">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 设计使用期限</w:t>
      </w:r>
    </w:p>
    <w:p w14:paraId="13DAA193">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的设计与材料选用应确保长期运行的可靠性，适应连续24小时不间断工作，且维护需求最小化。卖方应提供关键部件（如换能器、电子单元等）的使用寿命证明，可通过类似设备的运行记录或测试数据予以佐证。</w:t>
      </w:r>
    </w:p>
    <w:p w14:paraId="18F422FA">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常规维护应简便易行，避免依赖高技能人员。除易损件（如密封件）外，所有磨损部件自首次使用至需更换或修理的连续正常运行时间应不少于三年，若需整体拆解更换，则该部件使用寿命应不少于十年。所有电子元件及传感器部分的设计寿命应不低于100,000小时，额定性能至少满足工作负荷的125%。</w:t>
      </w:r>
    </w:p>
    <w:p w14:paraId="37C5EA2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 材料</w:t>
      </w:r>
    </w:p>
    <w:p w14:paraId="775E0549">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所用材料应适用于超声波明渠流量计的工作环境（如温度、压力、介质特性），并应为全新、优质、无缺陷的一流商业等级，优先选用耐腐蚀、寿命长、维护需求低的材料。</w:t>
      </w:r>
    </w:p>
    <w:p w14:paraId="494268CA">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 浇铸与锻造（适用于壳体、法兰等结构件）</w:t>
      </w:r>
    </w:p>
    <w:p w14:paraId="3BF813D8">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所有机加工表面应无瑕疵。浇铸件应洁净、尺寸精确、轮廓清晰，形状与壁厚变化处应平滑过渡，设有适当圆角与内外倒角。</w:t>
      </w:r>
    </w:p>
    <w:p w14:paraId="66E11E57">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可锻铸铁不得用于承受工作应力的部位，需承受应力的结构件应采用铸钢或其他适用材料。所有浇铸件表面应平整光滑，便于涂装防腐涂层。</w:t>
      </w:r>
    </w:p>
    <w:p w14:paraId="6E1588F5">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 电子单元与换能器</w:t>
      </w:r>
    </w:p>
    <w:p w14:paraId="45E34DA9">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（1）超声波明渠流量计的电子单元与换能器应符合国际标准（如ISO、IEC等），换能器应具备良好的信号稳定性和抗干扰能力。电子单元应封装严密，防止水汽、灰尘进入。</w:t>
      </w:r>
    </w:p>
    <w:p w14:paraId="29EFDBB3">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（2）电子单元应便于安装、调试与维护，具备自诊断功能，支持现场或远程通讯（如RS485、HART、Modbus等）。</w:t>
      </w:r>
    </w:p>
    <w:p w14:paraId="52355A55">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（3）换能器与管道的连接应密封可靠，防止泄漏，且应便于拆卸与更换。</w:t>
      </w:r>
    </w:p>
    <w:p w14:paraId="6724E37D">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4.1 超声波明渠流量计应具备：</w:t>
      </w:r>
    </w:p>
    <w:p w14:paraId="30970C3C">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（1）清晰可读的液晶显示屏，显示瞬时流量、累计流量、流速等工作参数；</w:t>
      </w:r>
    </w:p>
    <w:p w14:paraId="228C460F">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（2）便于操作的按键或触控界面，支持参数设置与校准；</w:t>
      </w:r>
    </w:p>
    <w:p w14:paraId="5E03736D">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（3）具备故障报警输出及数据记录功能，便于维护与追溯；</w:t>
      </w:r>
    </w:p>
    <w:p w14:paraId="0A1E9A18">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（4）外壳应设有吊装孔或吊环，便于搬运与安装。</w:t>
      </w:r>
    </w:p>
    <w:p w14:paraId="1973EE28">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5 焊接（适用于插入式或法兰式结构）</w:t>
      </w:r>
    </w:p>
    <w:p w14:paraId="6D98F839">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若焊接部位承受工作压力或应力，卖方应在制造前提交焊接工艺详图及准备方案供买方确认。</w:t>
      </w:r>
    </w:p>
    <w:p w14:paraId="4655401B">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所有焊接件在机械加工前应进行应力消除处理，确保结构稳定与长期可靠性。</w:t>
      </w:r>
    </w:p>
    <w:p w14:paraId="2334892C">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6.精度与性能要求</w:t>
      </w:r>
    </w:p>
    <w:p w14:paraId="07E185C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超声波明渠流量计的精度等级应符合下列要求：</w:t>
      </w:r>
    </w:p>
    <w:p w14:paraId="3369BD5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（1）在标定流量范围内，测量误差不应超过±0.5%（对于液体）或±1.0%（对于气体），具体精度等级由买方指定；</w:t>
      </w:r>
    </w:p>
    <w:p w14:paraId="1C80015F">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（2）重复性误差不应超过精度等级规定值的1/2；</w:t>
      </w:r>
    </w:p>
    <w:p w14:paraId="1D02081E">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（3）流速范围应满足0.3m/s至10m/s（液体）或1m/s至30m/s（气体），且在此范围内保持稳定测量；</w:t>
      </w:r>
    </w:p>
    <w:p w14:paraId="13CACD26">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（4）应具备低流速检测能力，最小可测流速不高于0.1m/s（液体）。</w:t>
      </w:r>
    </w:p>
    <w:p w14:paraId="0874133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所有精度指标应在卖方认可的标定装置上完成验证，并提供第三方或出厂标定证书。</w:t>
      </w:r>
    </w:p>
    <w:p w14:paraId="35E4FD9B">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7.安装条件</w:t>
      </w:r>
    </w:p>
    <w:p w14:paraId="71FEE957">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超声波明渠流量计的安装应满足以下要求：</w:t>
      </w:r>
    </w:p>
    <w:p w14:paraId="749FCC5E">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（1）若现场条件受限，卖方应提供相应的流场修正方案，并确保测量精度不受显著影响；</w:t>
      </w:r>
    </w:p>
    <w:p w14:paraId="1AB1841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（2）插入式换能器应提供可靠的安装座与密封结构，适用于带压安装与拆卸；</w:t>
      </w:r>
    </w:p>
    <w:p w14:paraId="3F24B2AF">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8.环境适应性与防护</w:t>
      </w:r>
    </w:p>
    <w:p w14:paraId="6634EDF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超声波明渠流量计应适应以下现场环境条件：</w:t>
      </w:r>
    </w:p>
    <w:p w14:paraId="6001E7BA">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（1）工作环境温度：-20℃～+60℃（户外安装时，应适应-30℃～+70℃）；</w:t>
      </w:r>
    </w:p>
    <w:p w14:paraId="3ED36455">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（2）相对湿度：≤95%（无凝结）；</w:t>
      </w:r>
    </w:p>
    <w:p w14:paraId="2C93E4B9">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（3）防护等级：电子单元外壳不低于IP65，换能器与接线盒不低于IP68（适用于浸水或埋地安装）；</w:t>
      </w:r>
    </w:p>
    <w:p w14:paraId="7008A1F1">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（4）若用于易燃易爆场所，设备应具备相应的防爆等级（如ExdIIBT4或ExibIIBT4），并提供国家认可的防爆合格证。</w:t>
      </w:r>
    </w:p>
    <w:p w14:paraId="45F09F71">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9.电气与通信接口</w:t>
      </w:r>
    </w:p>
    <w:p w14:paraId="49916FC7">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超声波明渠流量计的电气与通信系统应满足：</w:t>
      </w:r>
    </w:p>
    <w:p w14:paraId="5E28F146">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（1）供电电源：支持220VAC或24VDC，允许±10%波动；</w:t>
      </w:r>
    </w:p>
    <w:p w14:paraId="29C54C6C">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（2）输出信号：至少具备4-20mA模拟量输出、脉冲输出及RS485通讯接口，支持ModbusRTU协议；</w:t>
      </w:r>
    </w:p>
    <w:p w14:paraId="2B226F39">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（3）可选配HART、Profibus、BACnet等协议，具体由买方确认；</w:t>
      </w:r>
    </w:p>
    <w:p w14:paraId="148CD0D5">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（4）具备数据记录功能，可存储不少于1年的流量数据及事件日志，支持通过通信接口导出；</w:t>
      </w:r>
    </w:p>
    <w:p w14:paraId="6909341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（5）具备断电保护功能，参数设置与累计数据在断电后不丢失。</w:t>
      </w:r>
    </w:p>
    <w:p w14:paraId="0FEEFF16">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10.显示与操作</w:t>
      </w:r>
    </w:p>
    <w:p w14:paraId="365A8D4A">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超声波明渠流量计应配备直观的操作界面：</w:t>
      </w:r>
    </w:p>
    <w:p w14:paraId="634AAA20">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（1）LCD或TFT显示屏，支持中英文显示；</w:t>
      </w:r>
    </w:p>
    <w:p w14:paraId="07AD1414">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（2）可实时显示瞬时流量、累计流量、流速、信号强度、声速等关键参数；</w:t>
      </w:r>
    </w:p>
    <w:p w14:paraId="3FE0D916">
      <w:pPr>
        <w:widowControl w:val="0"/>
        <w:rPr>
          <w:rFonts w:hint="eastAsia"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（3）具备故障自诊断功能，显示故障代码及简要说明；</w:t>
      </w:r>
    </w:p>
    <w:p w14:paraId="7B73EF38">
      <w:pPr>
        <w:widowControl w:val="0"/>
        <w:rPr>
          <w:rFonts w:hint="default" w:ascii="方正仿宋_GBK" w:hAnsi="方正仿宋_GBK" w:eastAsia="方正仿宋_GBK" w:cs="方正仿宋_GBK"/>
          <w:color w:val="121212"/>
          <w:sz w:val="21"/>
          <w:szCs w:val="21"/>
          <w:lang w:val="en-US" w:eastAsia="zh-CN"/>
        </w:rPr>
      </w:pPr>
      <w:r>
        <w:rPr>
          <w:rFonts w:hint="eastAsia" w:ascii="方正仿宋_GBK" w:hAnsi="方正仿宋_GBK" w:eastAsia="方正仿宋_GBK" w:cs="方正仿宋_GBK"/>
          <w:color w:val="121212"/>
          <w:sz w:val="21"/>
          <w:szCs w:val="21"/>
          <w:lang w:val="en-US" w:eastAsia="zh-CN"/>
        </w:rPr>
        <w:t>（4）支持现场按键或红外遥控操作，便于防爆环境下安全操作。</w:t>
      </w:r>
    </w:p>
    <w:p w14:paraId="657A28C9">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（二）参考标准：</w:t>
      </w:r>
    </w:p>
    <w:p w14:paraId="7F64F9D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GB50231-98</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机械设备安装工程施工及验收通用规范</w:t>
      </w:r>
    </w:p>
    <w:p w14:paraId="30A25298">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GB50334－2002</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城市污水处理厂工程质量验收规范</w:t>
      </w:r>
    </w:p>
    <w:p w14:paraId="3831054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29529-2013</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泵的噪声测量与评价方法</w:t>
      </w:r>
    </w:p>
    <w:p w14:paraId="5587CB5E">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29531-2013</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泵的振动测量与评价方法</w:t>
      </w:r>
    </w:p>
    <w:p w14:paraId="597C7D5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3214-2007</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水泵流量的测定方法</w:t>
      </w:r>
    </w:p>
    <w:p w14:paraId="01CCF26A">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GB/T5656-2008</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 xml:space="preserve">    离心泵技术条件（Ⅱ类）</w:t>
      </w:r>
    </w:p>
    <w:p w14:paraId="637E003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 xml:space="preserve">GB/T5657-2013  </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离心泵技术条件（Ⅲ类）</w:t>
      </w:r>
    </w:p>
    <w:p w14:paraId="62E599CF">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GB/T13007-2011</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离心泵效率</w:t>
      </w:r>
    </w:p>
    <w:p w14:paraId="1494A72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GB/T3235-2008</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通风机基本形式、尺寸参数及性能曲线</w:t>
      </w:r>
    </w:p>
    <w:p w14:paraId="2231463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JB/T6445-2005 工业通风机叶轮超速试验</w:t>
      </w:r>
    </w:p>
    <w:p w14:paraId="53922C98">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JB/T8523-1997</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防爆通风机技术条件</w:t>
      </w:r>
    </w:p>
    <w:p w14:paraId="48BFF02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JB/T6886-2010</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通风机涂装技术条件</w:t>
      </w:r>
    </w:p>
    <w:p w14:paraId="362B9EA4">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GB/T19074-2003</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工业通风机 通风机的机械安全装置 护罩</w:t>
      </w:r>
    </w:p>
    <w:p w14:paraId="79ED7022">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12241—2005</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安全阀一般要求</w:t>
      </w:r>
    </w:p>
    <w:p w14:paraId="47BC1972">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GB9112~9124-2010</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钢制管法兰</w:t>
      </w:r>
    </w:p>
    <w:p w14:paraId="5DFC075D">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HG20592～20635-2009</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钢制管法兰、垫片、紧固件</w:t>
      </w:r>
    </w:p>
    <w:p w14:paraId="10FE6237">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699-2015</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优质碳素结构钢</w:t>
      </w:r>
    </w:p>
    <w:p w14:paraId="77BD0FC6">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700-2006</w:t>
      </w:r>
      <w:r>
        <w:rPr>
          <w:rFonts w:hint="eastAsia" w:ascii="方正仿宋_GBK" w:hAnsi="方正仿宋_GBK" w:eastAsia="方正仿宋_GBK" w:cs="方正仿宋_GBK"/>
          <w:color w:val="121212"/>
          <w:sz w:val="21"/>
          <w:szCs w:val="21"/>
          <w:lang w:eastAsia="zh-CN"/>
        </w:rPr>
        <w:tab/>
      </w:r>
      <w:r>
        <w:rPr>
          <w:rFonts w:hint="eastAsia" w:ascii="方正仿宋_GBK" w:hAnsi="方正仿宋_GBK" w:eastAsia="方正仿宋_GBK" w:cs="方正仿宋_GBK"/>
          <w:color w:val="121212"/>
          <w:sz w:val="21"/>
          <w:szCs w:val="21"/>
          <w:lang w:eastAsia="zh-CN"/>
        </w:rPr>
        <w:t>碳素结构钢</w:t>
      </w:r>
    </w:p>
    <w:p w14:paraId="7B1950A1">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JJG 291-2018 《溶解氧测定仪检定规程》</w:t>
      </w:r>
    </w:p>
    <w:p w14:paraId="0845FDDF">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JJG 1030-2007 《超声流量计检定规程》</w:t>
      </w:r>
    </w:p>
    <w:p w14:paraId="0E904D0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 12358-2006 《作业场所环境气体检测报警仪通用技术要求》</w:t>
      </w:r>
    </w:p>
    <w:p w14:paraId="747B92C3">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27699-2023 钢质管道内检测技术规范（国家标准，适用于钢质管道的内部检测）</w:t>
      </w:r>
    </w:p>
    <w:p w14:paraId="56F1AB3C">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GB/T 4208 外壳防护等级（IP代码） （用于验证设备防护等级要求）</w:t>
      </w:r>
    </w:p>
    <w:p w14:paraId="02FE4312">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GB 4793.1 测量、控制和实验室用电气设备的安全要求 第1部分：通用要求（电气安全标准）</w:t>
      </w:r>
    </w:p>
    <w:p w14:paraId="44EADB31">
      <w:pPr>
        <w:widowControl w:val="0"/>
        <w:rPr>
          <w:rFonts w:hint="eastAsia" w:ascii="方正仿宋_GBK" w:hAnsi="方正仿宋_GBK" w:eastAsia="方正仿宋_GBK" w:cs="方正仿宋_GBK"/>
          <w:color w:val="121212"/>
          <w:sz w:val="21"/>
          <w:szCs w:val="21"/>
          <w:lang w:eastAsia="zh-CN"/>
        </w:rPr>
      </w:pPr>
      <w:r>
        <w:rPr>
          <w:rFonts w:hint="eastAsia" w:ascii="方正仿宋_GBK" w:hAnsi="方正仿宋_GBK" w:eastAsia="方正仿宋_GBK" w:cs="方正仿宋_GBK"/>
          <w:color w:val="121212"/>
          <w:sz w:val="21"/>
          <w:szCs w:val="21"/>
          <w:lang w:eastAsia="zh-CN"/>
        </w:rPr>
        <w:t>（三）质保期：</w:t>
      </w:r>
    </w:p>
    <w:p w14:paraId="512CE7F0">
      <w:pPr>
        <w:ind w:left="0" w:leftChars="0" w:firstLine="0" w:firstLineChars="0"/>
        <w:rPr>
          <w:rFonts w:hint="eastAsia" w:ascii="方正仿宋_GBK" w:hAnsi="方正仿宋_GBK" w:eastAsia="方正仿宋_GBK" w:cs="方正仿宋_GBK"/>
          <w:color w:val="121212"/>
          <w:sz w:val="24"/>
          <w:szCs w:val="24"/>
          <w:lang w:val="en-US" w:eastAsia="zh-CN"/>
        </w:rPr>
      </w:pPr>
      <w:r>
        <w:rPr>
          <w:rFonts w:hint="eastAsia" w:ascii="方正仿宋_GBK" w:hAnsi="方正仿宋_GBK" w:eastAsia="方正仿宋_GBK" w:cs="方正仿宋_GBK"/>
          <w:color w:val="121212"/>
          <w:sz w:val="21"/>
          <w:szCs w:val="21"/>
          <w:lang w:eastAsia="zh-CN"/>
        </w:rPr>
        <w:t>设备验收合格之日起 12个月。</w:t>
      </w:r>
    </w:p>
    <w:p w14:paraId="6B57E6F8">
      <w:pPr>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五、</w:t>
      </w:r>
      <w:r>
        <w:rPr>
          <w:rFonts w:hint="eastAsia" w:ascii="仿宋" w:hAnsi="仿宋" w:eastAsia="仿宋" w:cs="仿宋"/>
          <w:b/>
          <w:bCs/>
          <w:sz w:val="24"/>
          <w:szCs w:val="24"/>
        </w:rPr>
        <w:t>交货时间、地点及方</w:t>
      </w:r>
      <w:r>
        <w:rPr>
          <w:rFonts w:hint="eastAsia" w:ascii="仿宋" w:hAnsi="仿宋" w:eastAsia="仿宋" w:cs="仿宋"/>
          <w:b/>
          <w:bCs/>
          <w:sz w:val="24"/>
          <w:szCs w:val="24"/>
          <w:highlight w:val="none"/>
        </w:rPr>
        <w:t>式</w:t>
      </w:r>
      <w:r>
        <w:rPr>
          <w:rFonts w:hint="eastAsia" w:ascii="仿宋" w:hAnsi="仿宋" w:eastAsia="仿宋" w:cs="仿宋"/>
          <w:b/>
          <w:bCs/>
          <w:sz w:val="24"/>
          <w:szCs w:val="24"/>
          <w:highlight w:val="none"/>
          <w:lang w:val="en-US" w:eastAsia="zh-CN"/>
        </w:rPr>
        <w:t>：</w:t>
      </w:r>
    </w:p>
    <w:p w14:paraId="34CAE7E6">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 交货时间：合同正式签订后15日内发货，乙方在发货前电话通知甲方。</w:t>
      </w:r>
    </w:p>
    <w:p w14:paraId="3446E990">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2. 交货地点：详见下表</w:t>
      </w:r>
    </w:p>
    <w:tbl>
      <w:tblPr>
        <w:tblStyle w:val="16"/>
        <w:tblW w:w="9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177"/>
        <w:gridCol w:w="2956"/>
        <w:gridCol w:w="1533"/>
        <w:gridCol w:w="1684"/>
        <w:gridCol w:w="924"/>
      </w:tblGrid>
      <w:tr w14:paraId="6EF9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80" w:type="dxa"/>
            <w:vAlign w:val="center"/>
          </w:tcPr>
          <w:p w14:paraId="25ED588B">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序号</w:t>
            </w:r>
          </w:p>
        </w:tc>
        <w:tc>
          <w:tcPr>
            <w:tcW w:w="1177" w:type="dxa"/>
            <w:vAlign w:val="center"/>
          </w:tcPr>
          <w:p w14:paraId="67F47FF7">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区县</w:t>
            </w:r>
          </w:p>
        </w:tc>
        <w:tc>
          <w:tcPr>
            <w:tcW w:w="2956" w:type="dxa"/>
            <w:vAlign w:val="center"/>
          </w:tcPr>
          <w:p w14:paraId="3D398B1D">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收货地址</w:t>
            </w:r>
          </w:p>
        </w:tc>
        <w:tc>
          <w:tcPr>
            <w:tcW w:w="1533" w:type="dxa"/>
            <w:vAlign w:val="center"/>
          </w:tcPr>
          <w:p w14:paraId="018A7EE8">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联系人</w:t>
            </w:r>
          </w:p>
        </w:tc>
        <w:tc>
          <w:tcPr>
            <w:tcW w:w="1684" w:type="dxa"/>
            <w:vAlign w:val="center"/>
          </w:tcPr>
          <w:p w14:paraId="1D581321">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联系电话</w:t>
            </w:r>
          </w:p>
        </w:tc>
        <w:tc>
          <w:tcPr>
            <w:tcW w:w="924" w:type="dxa"/>
            <w:vAlign w:val="center"/>
          </w:tcPr>
          <w:p w14:paraId="465E5517">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备注</w:t>
            </w:r>
          </w:p>
        </w:tc>
      </w:tr>
      <w:tr w14:paraId="5F74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80" w:type="dxa"/>
            <w:vAlign w:val="center"/>
          </w:tcPr>
          <w:p w14:paraId="52523B12">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w:t>
            </w:r>
          </w:p>
        </w:tc>
        <w:tc>
          <w:tcPr>
            <w:tcW w:w="1177" w:type="dxa"/>
            <w:vAlign w:val="center"/>
          </w:tcPr>
          <w:p w14:paraId="5D342990">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黔江区</w:t>
            </w:r>
          </w:p>
        </w:tc>
        <w:tc>
          <w:tcPr>
            <w:tcW w:w="2956" w:type="dxa"/>
            <w:vAlign w:val="center"/>
          </w:tcPr>
          <w:p w14:paraId="448D3FAE">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城东街道新华大道东段168号</w:t>
            </w:r>
            <w:r>
              <w:rPr>
                <w:rFonts w:hint="default" w:ascii="Times New Roman" w:hAnsi="Times New Roman" w:eastAsia="方正仿宋_GBK" w:cs="Times New Roman"/>
                <w:sz w:val="24"/>
                <w:szCs w:val="24"/>
                <w:highlight w:val="none"/>
                <w:lang w:val="en-US" w:eastAsia="zh-CN"/>
              </w:rPr>
              <w:t>1509</w:t>
            </w:r>
          </w:p>
        </w:tc>
        <w:tc>
          <w:tcPr>
            <w:tcW w:w="1533" w:type="dxa"/>
            <w:vAlign w:val="center"/>
          </w:tcPr>
          <w:p w14:paraId="3E7A1A83">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王清波</w:t>
            </w:r>
          </w:p>
        </w:tc>
        <w:tc>
          <w:tcPr>
            <w:tcW w:w="1684" w:type="dxa"/>
            <w:vAlign w:val="center"/>
          </w:tcPr>
          <w:p w14:paraId="036479D2">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13996932932</w:t>
            </w:r>
          </w:p>
        </w:tc>
        <w:tc>
          <w:tcPr>
            <w:tcW w:w="924" w:type="dxa"/>
            <w:vAlign w:val="center"/>
          </w:tcPr>
          <w:p w14:paraId="53588615">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p>
        </w:tc>
      </w:tr>
      <w:tr w14:paraId="1B12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80" w:type="dxa"/>
            <w:vAlign w:val="center"/>
          </w:tcPr>
          <w:p w14:paraId="56917B07">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2</w:t>
            </w:r>
          </w:p>
        </w:tc>
        <w:tc>
          <w:tcPr>
            <w:tcW w:w="1177" w:type="dxa"/>
            <w:vAlign w:val="center"/>
          </w:tcPr>
          <w:p w14:paraId="1FF58DBB">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酉阳县</w:t>
            </w:r>
          </w:p>
        </w:tc>
        <w:tc>
          <w:tcPr>
            <w:tcW w:w="2956" w:type="dxa"/>
            <w:vAlign w:val="center"/>
          </w:tcPr>
          <w:p w14:paraId="4EDD06C6">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龙潭镇落地洞龙潭污水处理厂</w:t>
            </w:r>
          </w:p>
        </w:tc>
        <w:tc>
          <w:tcPr>
            <w:tcW w:w="1533" w:type="dxa"/>
            <w:vAlign w:val="center"/>
          </w:tcPr>
          <w:p w14:paraId="3BC7FDC3">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陈灿</w:t>
            </w:r>
          </w:p>
        </w:tc>
        <w:tc>
          <w:tcPr>
            <w:tcW w:w="1684" w:type="dxa"/>
            <w:vAlign w:val="center"/>
          </w:tcPr>
          <w:p w14:paraId="4ECBF63D">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18716626949</w:t>
            </w:r>
          </w:p>
        </w:tc>
        <w:tc>
          <w:tcPr>
            <w:tcW w:w="924" w:type="dxa"/>
            <w:vAlign w:val="center"/>
          </w:tcPr>
          <w:p w14:paraId="25DA365F">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p>
        </w:tc>
      </w:tr>
      <w:tr w14:paraId="3F33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80" w:type="dxa"/>
            <w:shd w:val="clear" w:color="auto" w:fill="auto"/>
            <w:vAlign w:val="center"/>
          </w:tcPr>
          <w:p w14:paraId="7DA248E5">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3</w:t>
            </w:r>
          </w:p>
        </w:tc>
        <w:tc>
          <w:tcPr>
            <w:tcW w:w="1177" w:type="dxa"/>
            <w:shd w:val="clear" w:color="auto" w:fill="auto"/>
            <w:vAlign w:val="center"/>
          </w:tcPr>
          <w:p w14:paraId="4900F9A7">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彭水县</w:t>
            </w:r>
          </w:p>
        </w:tc>
        <w:tc>
          <w:tcPr>
            <w:tcW w:w="2956" w:type="dxa"/>
            <w:shd w:val="clear" w:color="auto" w:fill="auto"/>
            <w:vAlign w:val="center"/>
          </w:tcPr>
          <w:p w14:paraId="73E625D7">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高谷镇污水处理厂</w:t>
            </w:r>
          </w:p>
        </w:tc>
        <w:tc>
          <w:tcPr>
            <w:tcW w:w="1533" w:type="dxa"/>
            <w:shd w:val="clear" w:color="auto" w:fill="auto"/>
            <w:vAlign w:val="center"/>
          </w:tcPr>
          <w:p w14:paraId="43DEEB5F">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申长明</w:t>
            </w:r>
          </w:p>
        </w:tc>
        <w:tc>
          <w:tcPr>
            <w:tcW w:w="1684" w:type="dxa"/>
            <w:shd w:val="clear" w:color="auto" w:fill="auto"/>
            <w:vAlign w:val="center"/>
          </w:tcPr>
          <w:p w14:paraId="332FC152">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18996168326</w:t>
            </w:r>
          </w:p>
        </w:tc>
        <w:tc>
          <w:tcPr>
            <w:tcW w:w="924" w:type="dxa"/>
            <w:vAlign w:val="center"/>
          </w:tcPr>
          <w:p w14:paraId="05E1DCED">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p>
        </w:tc>
      </w:tr>
      <w:tr w14:paraId="3D95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80" w:type="dxa"/>
            <w:shd w:val="clear" w:color="auto" w:fill="auto"/>
            <w:vAlign w:val="center"/>
          </w:tcPr>
          <w:p w14:paraId="48502375">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4</w:t>
            </w:r>
          </w:p>
        </w:tc>
        <w:tc>
          <w:tcPr>
            <w:tcW w:w="1177" w:type="dxa"/>
            <w:shd w:val="clear" w:color="auto" w:fill="auto"/>
            <w:vAlign w:val="center"/>
          </w:tcPr>
          <w:p w14:paraId="4A3A8A50">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石柱县</w:t>
            </w:r>
          </w:p>
        </w:tc>
        <w:tc>
          <w:tcPr>
            <w:tcW w:w="2956" w:type="dxa"/>
            <w:shd w:val="clear" w:color="auto" w:fill="auto"/>
            <w:vAlign w:val="center"/>
          </w:tcPr>
          <w:p w14:paraId="5D4B9BEE">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石柱县职教中心</w:t>
            </w:r>
          </w:p>
        </w:tc>
        <w:tc>
          <w:tcPr>
            <w:tcW w:w="1533" w:type="dxa"/>
            <w:shd w:val="clear" w:color="auto" w:fill="auto"/>
            <w:vAlign w:val="center"/>
          </w:tcPr>
          <w:p w14:paraId="0EAA5DE8">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翟君</w:t>
            </w:r>
          </w:p>
        </w:tc>
        <w:tc>
          <w:tcPr>
            <w:tcW w:w="1684" w:type="dxa"/>
            <w:shd w:val="clear" w:color="auto" w:fill="auto"/>
            <w:vAlign w:val="center"/>
          </w:tcPr>
          <w:p w14:paraId="38D9605B">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17623586960</w:t>
            </w:r>
          </w:p>
        </w:tc>
        <w:tc>
          <w:tcPr>
            <w:tcW w:w="924" w:type="dxa"/>
            <w:vAlign w:val="center"/>
          </w:tcPr>
          <w:p w14:paraId="3F83EAC7">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p>
        </w:tc>
      </w:tr>
    </w:tbl>
    <w:p w14:paraId="0AB55250">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3. 运输方式：由乙方负责安排运输，运输方式不限，运输费用包含在合同总价中，运输过程中的风险由乙方承担，直至设备交付甲方并验收合格。</w:t>
      </w:r>
    </w:p>
    <w:p w14:paraId="0203DDD3">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六、成果交付：</w:t>
      </w:r>
    </w:p>
    <w:p w14:paraId="4C3F090A">
      <w:pPr>
        <w:numPr>
          <w:ilvl w:val="0"/>
          <w:numId w:val="0"/>
        </w:numPr>
        <w:ind w:right="105" w:rightChars="50" w:firstLine="480" w:firstLineChars="200"/>
        <w:rPr>
          <w:rFonts w:hint="eastAsia" w:ascii="Times New Roman" w:hAnsi="Times New Roman" w:eastAsia="方正仿宋_GBK" w:cs="Times New Roman"/>
          <w:snapToGrid/>
          <w:kern w:val="2"/>
          <w:sz w:val="24"/>
          <w:szCs w:val="24"/>
          <w:highlight w:val="none"/>
          <w:lang w:val="en-US" w:eastAsia="zh-CN" w:bidi="ar-SA"/>
        </w:rPr>
      </w:pPr>
      <w:r>
        <w:rPr>
          <w:rFonts w:hint="eastAsia" w:ascii="Times New Roman" w:hAnsi="Times New Roman" w:eastAsia="方正仿宋_GBK" w:cs="Times New Roman"/>
          <w:snapToGrid/>
          <w:kern w:val="2"/>
          <w:sz w:val="24"/>
          <w:szCs w:val="24"/>
          <w:highlight w:val="none"/>
          <w:lang w:val="en-US" w:eastAsia="zh-CN" w:bidi="ar-SA"/>
        </w:rPr>
        <w:t>乙方提供合格的设备，并通过甲方验收。</w:t>
      </w:r>
    </w:p>
    <w:p w14:paraId="66A57EAA">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七、验收标准：</w:t>
      </w:r>
    </w:p>
    <w:p w14:paraId="32A83CBB">
      <w:pPr>
        <w:numPr>
          <w:ilvl w:val="0"/>
          <w:numId w:val="0"/>
        </w:numPr>
        <w:ind w:right="105" w:rightChars="50" w:firstLine="480" w:firstLineChars="200"/>
        <w:rPr>
          <w:rFonts w:hint="eastAsia" w:ascii="Times New Roman" w:hAnsi="Times New Roman" w:eastAsia="方正仿宋_GBK" w:cs="Times New Roman"/>
          <w:snapToGrid/>
          <w:kern w:val="2"/>
          <w:sz w:val="24"/>
          <w:szCs w:val="24"/>
          <w:highlight w:val="none"/>
          <w:lang w:val="en-US" w:eastAsia="zh-CN" w:bidi="ar-SA"/>
        </w:rPr>
      </w:pPr>
      <w:r>
        <w:rPr>
          <w:rFonts w:hint="eastAsia" w:ascii="Times New Roman" w:hAnsi="Times New Roman" w:eastAsia="方正仿宋_GBK" w:cs="Times New Roman"/>
          <w:snapToGrid/>
          <w:kern w:val="2"/>
          <w:sz w:val="24"/>
          <w:szCs w:val="24"/>
          <w:highlight w:val="none"/>
          <w:lang w:val="en-US" w:eastAsia="zh-CN" w:bidi="ar-SA"/>
        </w:rPr>
        <w:t>乙方在供货时提供供货清单，注明货物的种类、数量等信息。同时需提供货物的质量证书及出厂合格证、检测报告、产品使用说明书和其他相关的技术资料。</w:t>
      </w:r>
    </w:p>
    <w:p w14:paraId="51946CB8">
      <w:pPr>
        <w:numPr>
          <w:ilvl w:val="0"/>
          <w:numId w:val="0"/>
        </w:numPr>
        <w:ind w:right="105" w:rightChars="50" w:firstLine="480" w:firstLineChars="200"/>
        <w:rPr>
          <w:rFonts w:hint="eastAsia" w:ascii="Times New Roman" w:hAnsi="Times New Roman" w:eastAsia="方正仿宋_GBK" w:cs="Times New Roman"/>
          <w:snapToGrid/>
          <w:kern w:val="2"/>
          <w:sz w:val="24"/>
          <w:szCs w:val="24"/>
          <w:highlight w:val="none"/>
          <w:lang w:val="en-US" w:eastAsia="zh-CN" w:bidi="ar-SA"/>
        </w:rPr>
      </w:pPr>
      <w:r>
        <w:rPr>
          <w:rFonts w:hint="eastAsia" w:ascii="Times New Roman" w:hAnsi="Times New Roman" w:eastAsia="方正仿宋_GBK" w:cs="Times New Roman"/>
          <w:snapToGrid/>
          <w:kern w:val="2"/>
          <w:sz w:val="24"/>
          <w:szCs w:val="24"/>
          <w:highlight w:val="none"/>
          <w:lang w:val="en-US" w:eastAsia="zh-CN" w:bidi="ar-SA"/>
        </w:rPr>
        <w:t>甲方依据乙方提供的资料进行点检验收，并对货物的相关信息（数量、质量、外观等）按乙方提供的供货清单进行现场复核。</w:t>
      </w:r>
    </w:p>
    <w:p w14:paraId="4FA8CF6D">
      <w:pPr>
        <w:numPr>
          <w:ilvl w:val="0"/>
          <w:numId w:val="0"/>
        </w:numPr>
        <w:ind w:right="105" w:rightChars="50" w:firstLine="480" w:firstLineChars="200"/>
        <w:rPr>
          <w:rFonts w:hint="eastAsia" w:ascii="Times New Roman" w:hAnsi="Times New Roman" w:eastAsia="方正仿宋_GBK" w:cs="Times New Roman"/>
          <w:snapToGrid/>
          <w:kern w:val="2"/>
          <w:sz w:val="24"/>
          <w:szCs w:val="24"/>
          <w:highlight w:val="none"/>
          <w:lang w:val="en-US" w:eastAsia="zh-CN" w:bidi="ar-SA"/>
        </w:rPr>
      </w:pPr>
      <w:r>
        <w:rPr>
          <w:rFonts w:hint="eastAsia" w:ascii="Times New Roman" w:hAnsi="Times New Roman" w:eastAsia="方正仿宋_GBK" w:cs="Times New Roman"/>
          <w:snapToGrid/>
          <w:kern w:val="2"/>
          <w:sz w:val="24"/>
          <w:szCs w:val="24"/>
          <w:highlight w:val="none"/>
          <w:lang w:val="en-US" w:eastAsia="zh-CN" w:bidi="ar-SA"/>
        </w:rPr>
        <w:t>1.如甲方直接签署验收合格意见，则视为货物到货验收合格；</w:t>
      </w:r>
    </w:p>
    <w:p w14:paraId="2284C0A5">
      <w:pPr>
        <w:numPr>
          <w:ilvl w:val="0"/>
          <w:numId w:val="0"/>
        </w:numPr>
        <w:ind w:right="105" w:rightChars="50" w:firstLine="480" w:firstLineChars="200"/>
        <w:rPr>
          <w:rFonts w:hint="eastAsia" w:ascii="Times New Roman" w:hAnsi="Times New Roman" w:eastAsia="方正仿宋_GBK" w:cs="Times New Roman"/>
          <w:snapToGrid/>
          <w:kern w:val="2"/>
          <w:sz w:val="24"/>
          <w:szCs w:val="24"/>
          <w:highlight w:val="none"/>
          <w:lang w:val="en-US" w:eastAsia="zh-CN" w:bidi="ar-SA"/>
        </w:rPr>
      </w:pPr>
      <w:r>
        <w:rPr>
          <w:rFonts w:hint="eastAsia" w:ascii="Times New Roman" w:hAnsi="Times New Roman" w:eastAsia="方正仿宋_GBK" w:cs="Times New Roman"/>
          <w:snapToGrid/>
          <w:kern w:val="2"/>
          <w:sz w:val="24"/>
          <w:szCs w:val="24"/>
          <w:highlight w:val="none"/>
          <w:lang w:val="en-US" w:eastAsia="zh-CN" w:bidi="ar-SA"/>
        </w:rPr>
        <w:t>2.如甲方对货物品质、规格等非可目测指标有异议。由买卖双方认可的具有相应资质的第三方检测机构对有异议指标进行复检并出具报告。检测结果合格，甲方支付相关费用，不合格乙方承担相关费用并承担甲方损失。</w:t>
      </w:r>
    </w:p>
    <w:p w14:paraId="616A3844">
      <w:pPr>
        <w:numPr>
          <w:ilvl w:val="0"/>
          <w:numId w:val="0"/>
        </w:numPr>
        <w:ind w:right="105" w:rightChars="50" w:firstLine="480" w:firstLineChars="200"/>
        <w:rPr>
          <w:rFonts w:hint="eastAsia" w:ascii="Times New Roman" w:hAnsi="Times New Roman" w:eastAsia="方正仿宋_GBK" w:cs="Times New Roman"/>
          <w:snapToGrid/>
          <w:kern w:val="2"/>
          <w:sz w:val="24"/>
          <w:szCs w:val="24"/>
          <w:highlight w:val="none"/>
          <w:lang w:val="en-US" w:eastAsia="zh-CN" w:bidi="ar-SA"/>
        </w:rPr>
      </w:pPr>
      <w:r>
        <w:rPr>
          <w:rFonts w:hint="eastAsia" w:ascii="Times New Roman" w:hAnsi="Times New Roman" w:eastAsia="方正仿宋_GBK" w:cs="Times New Roman"/>
          <w:snapToGrid/>
          <w:kern w:val="2"/>
          <w:sz w:val="24"/>
          <w:szCs w:val="24"/>
          <w:highlight w:val="none"/>
          <w:lang w:val="en-US" w:eastAsia="zh-CN" w:bidi="ar-SA"/>
        </w:rPr>
        <w:t>3.甲方对货物的签收、点检、验收的通过并不代表甲方放弃对于潜在缺陷、质量问题所引起的相关损失的索赔权利，也并不减轻、免除乙方应履行的合同义务和应承担的责任。</w:t>
      </w:r>
    </w:p>
    <w:p w14:paraId="0EDBDA0C">
      <w:pPr>
        <w:numPr>
          <w:ilvl w:val="0"/>
          <w:numId w:val="0"/>
        </w:numPr>
        <w:ind w:right="105" w:rightChars="50" w:firstLine="480" w:firstLineChars="200"/>
        <w:rPr>
          <w:rFonts w:hint="eastAsia" w:ascii="Times New Roman" w:hAnsi="Times New Roman" w:eastAsia="方正仿宋_GBK" w:cs="Times New Roman"/>
          <w:snapToGrid/>
          <w:kern w:val="2"/>
          <w:sz w:val="24"/>
          <w:szCs w:val="24"/>
          <w:highlight w:val="none"/>
          <w:lang w:val="en-US" w:eastAsia="zh-CN" w:bidi="ar-SA"/>
        </w:rPr>
      </w:pPr>
      <w:r>
        <w:rPr>
          <w:rFonts w:hint="eastAsia" w:ascii="Times New Roman" w:hAnsi="Times New Roman" w:eastAsia="方正仿宋_GBK" w:cs="Times New Roman"/>
          <w:snapToGrid/>
          <w:kern w:val="2"/>
          <w:sz w:val="24"/>
          <w:szCs w:val="24"/>
          <w:highlight w:val="none"/>
          <w:lang w:val="en-US" w:eastAsia="zh-CN" w:bidi="ar-SA"/>
        </w:rPr>
        <w:t>4.货物验收合格前货物的一切风险由乙方承担，验收合格后的风险由甲方承担。</w:t>
      </w:r>
    </w:p>
    <w:p w14:paraId="2F0B6529">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八、双方权利与义务：</w:t>
      </w:r>
    </w:p>
    <w:p w14:paraId="49C25259">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firstLine="480" w:firstLineChars="200"/>
        <w:textAlignment w:val="baseline"/>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 xml:space="preserve">8.1甲方应按时提供项目所需的基础资料，并配合乙方开展工作。  </w:t>
      </w:r>
    </w:p>
    <w:p w14:paraId="3D8AAAA2">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lang w:val="en-US" w:eastAsia="zh-CN"/>
        </w:rPr>
        <w:t>8.2乙方应按时、按质完成</w:t>
      </w:r>
      <w:r>
        <w:rPr>
          <w:rFonts w:hint="eastAsia" w:ascii="Times New Roman" w:hAnsi="Times New Roman" w:eastAsia="方正仿宋_GBK" w:cs="Times New Roman"/>
          <w:sz w:val="24"/>
          <w:szCs w:val="24"/>
          <w:highlight w:val="none"/>
          <w:lang w:val="en-US" w:eastAsia="zh-CN"/>
        </w:rPr>
        <w:t>设备</w:t>
      </w:r>
      <w:r>
        <w:rPr>
          <w:rFonts w:hint="eastAsia" w:ascii="方正仿宋_GBK" w:hAnsi="方正仿宋_GBK" w:eastAsia="方正仿宋_GBK" w:cs="方正仿宋_GBK"/>
          <w:snapToGrid/>
          <w:kern w:val="2"/>
          <w:sz w:val="24"/>
          <w:szCs w:val="24"/>
          <w:highlight w:val="none"/>
          <w:lang w:val="en-US" w:eastAsia="zh-CN" w:bidi="ar-SA"/>
        </w:rPr>
        <w:t>供货</w:t>
      </w:r>
      <w:r>
        <w:rPr>
          <w:rFonts w:hint="default" w:ascii="Times New Roman" w:hAnsi="Times New Roman" w:eastAsia="方正仿宋_GBK" w:cs="Times New Roman"/>
          <w:sz w:val="24"/>
          <w:szCs w:val="24"/>
          <w:highlight w:val="none"/>
          <w:lang w:val="en-US" w:eastAsia="zh-CN"/>
        </w:rPr>
        <w:t xml:space="preserve">。 </w:t>
      </w:r>
      <w:r>
        <w:rPr>
          <w:rFonts w:hint="default" w:ascii="Times New Roman" w:hAnsi="Times New Roman" w:eastAsia="方正仿宋_GBK" w:cs="Times New Roman"/>
          <w:sz w:val="24"/>
          <w:szCs w:val="24"/>
          <w:highlight w:val="none"/>
        </w:rPr>
        <w:t xml:space="preserve"> </w:t>
      </w:r>
    </w:p>
    <w:p w14:paraId="584990B6">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contextualSpacing/>
        <w:jc w:val="both"/>
        <w:textAlignment w:val="baseline"/>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8.3如因乙方</w:t>
      </w:r>
      <w:r>
        <w:rPr>
          <w:rFonts w:hint="eastAsia" w:ascii="Times New Roman" w:hAnsi="Times New Roman" w:eastAsia="方正仿宋_GBK" w:cs="Times New Roman"/>
          <w:sz w:val="24"/>
          <w:szCs w:val="24"/>
          <w:highlight w:val="none"/>
          <w:lang w:val="en-US" w:eastAsia="zh-CN"/>
        </w:rPr>
        <w:t>设备质量问题导致的故障，乙方应免费维修或更换</w:t>
      </w:r>
      <w:r>
        <w:rPr>
          <w:rFonts w:hint="default" w:ascii="Times New Roman" w:hAnsi="Times New Roman" w:eastAsia="方正仿宋_GBK" w:cs="Times New Roman"/>
          <w:sz w:val="24"/>
          <w:szCs w:val="24"/>
          <w:highlight w:val="none"/>
          <w:lang w:val="en-US" w:eastAsia="zh-CN"/>
        </w:rPr>
        <w:t>。</w:t>
      </w:r>
    </w:p>
    <w:p w14:paraId="62CEDAA8">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九、知识产权：</w:t>
      </w:r>
    </w:p>
    <w:p w14:paraId="30365B7E">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9.1乙方为完成本合同所编制的报告及相关技术文件的知识产权归甲方所有。</w:t>
      </w:r>
    </w:p>
    <w:p w14:paraId="3337F725">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9.2乙方保证其提交的成果不侵犯任何第三方的知识产权。如因乙方成果侵犯第三方权益引发纠纷，由乙方承担全部法律责任并赔偿甲方因此遭受的损失。</w:t>
      </w:r>
    </w:p>
    <w:p w14:paraId="1EA1EF1A">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十、保密义务：</w:t>
      </w:r>
    </w:p>
    <w:p w14:paraId="023495AB">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双方应对在履行本合同过程中知悉的对方商业秘密、技术资料及其他未公开信息承担保密义务，未经对方书面同意，不得向任何第三方披露。本保密条款在本合同终止后3年内继续有效。</w:t>
      </w:r>
    </w:p>
    <w:p w14:paraId="23E364B3">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十一、不可抗力：</w:t>
      </w:r>
    </w:p>
    <w:p w14:paraId="1A313D75">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11.1因不可抗力导致无法履行或迟延履行合同义务的，受影响方应在不可抗力事件结束后的7日内通知对方并提供相关证明，可免除相应违约责任。</w:t>
      </w:r>
    </w:p>
    <w:p w14:paraId="32752FAC">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11.2不可抗力包括但不限于自然灾害、战争、动乱、政府行为等不能预见、不能避免且不能克服的客观情况。</w:t>
      </w:r>
    </w:p>
    <w:p w14:paraId="25E7933C">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default"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11.3如不可抗力持续超过30日，双方可协商解除合同或变更合同内容。</w:t>
      </w:r>
    </w:p>
    <w:p w14:paraId="7815F395">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十二、违约责任：</w:t>
      </w:r>
    </w:p>
    <w:p w14:paraId="444DCB93">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12.1若乙方未按时发货，每逾期一日，按合同总金额的0.5%向甲方支付违约金，逾期超过15日的，甲方有权解除合同并要求乙方赔偿损失。</w:t>
      </w:r>
    </w:p>
    <w:p w14:paraId="6A1C8A8F">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12.2若甲方未按时支付款项，每逾期一日，按应付未付款项的 0.5% 向乙方支付违约金。</w:t>
      </w:r>
    </w:p>
    <w:p w14:paraId="50847D93">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12.3任何一方违反本合同其他约定，应赔偿对方因此造成的全部损失。</w:t>
      </w:r>
    </w:p>
    <w:p w14:paraId="1B197516">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十三、合同的变更与解除：</w:t>
      </w:r>
    </w:p>
    <w:p w14:paraId="1967B788">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13.1经双方协商一致，可以变更或解除本合同，并签订书面补充协议。</w:t>
      </w:r>
    </w:p>
    <w:p w14:paraId="45C8DD6A">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right="105" w:rightChars="50" w:firstLine="638" w:firstLineChars="266"/>
        <w:textAlignment w:val="baseline"/>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13.2因不可抗力或法律法规变化导致合同无法继续履行的，任何一方均可书面通知对方解除合同，互不承担违约责任.</w:t>
      </w:r>
    </w:p>
    <w:p w14:paraId="3F50E69C">
      <w:pPr>
        <w:keepNext w:val="0"/>
        <w:keepLines w:val="0"/>
        <w:pageBreakBefore w:val="0"/>
        <w:widowControl/>
        <w:numPr>
          <w:ilvl w:val="0"/>
          <w:numId w:val="0"/>
        </w:numPr>
        <w:kinsoku w:val="0"/>
        <w:wordWrap/>
        <w:overflowPunct/>
        <w:topLinePunct w:val="0"/>
        <w:autoSpaceDE w:val="0"/>
        <w:autoSpaceDN w:val="0"/>
        <w:bidi w:val="0"/>
        <w:adjustRightInd w:val="0"/>
        <w:snapToGrid w:val="0"/>
        <w:ind w:right="105" w:rightChars="50"/>
        <w:textAlignment w:val="baseline"/>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十四、争议解决：</w:t>
      </w:r>
    </w:p>
    <w:p w14:paraId="52E21727">
      <w:pPr>
        <w:numPr>
          <w:ilvl w:val="0"/>
          <w:numId w:val="0"/>
        </w:numPr>
        <w:ind w:left="0" w:leftChars="0" w:right="105" w:rightChars="50" w:firstLine="638" w:firstLineChars="266"/>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本合同在履行过程中发生争议，双方应友好协商解决；协商不成的，任何一方均可向甲方所在地有管辖权的人民法院提起诉讼。</w:t>
      </w:r>
    </w:p>
    <w:p w14:paraId="6EEA0BD7">
      <w:pPr>
        <w:numPr>
          <w:ilvl w:val="0"/>
          <w:numId w:val="0"/>
        </w:numPr>
        <w:ind w:right="105" w:rightChars="50"/>
        <w:rPr>
          <w:rFonts w:hint="eastAsia" w:ascii="仿宋" w:hAnsi="仿宋" w:eastAsia="仿宋" w:cs="仿宋"/>
          <w:b/>
          <w:bCs/>
          <w:sz w:val="24"/>
          <w:szCs w:val="24"/>
          <w:highlight w:val="none"/>
          <w:lang w:val="en-US" w:eastAsia="zh-CN"/>
        </w:rPr>
      </w:pPr>
      <w:r>
        <w:rPr>
          <w:rFonts w:hint="default" w:ascii="仿宋" w:hAnsi="仿宋" w:eastAsia="仿宋" w:cs="仿宋"/>
          <w:b/>
          <w:bCs/>
          <w:sz w:val="24"/>
          <w:szCs w:val="24"/>
          <w:highlight w:val="none"/>
          <w:lang w:val="en-US" w:eastAsia="zh-CN"/>
        </w:rPr>
        <w:t>十五</w:t>
      </w:r>
      <w:r>
        <w:rPr>
          <w:rFonts w:hint="eastAsia" w:ascii="仿宋" w:hAnsi="仿宋" w:eastAsia="仿宋" w:cs="仿宋"/>
          <w:b/>
          <w:bCs/>
          <w:sz w:val="24"/>
          <w:szCs w:val="24"/>
          <w:highlight w:val="none"/>
          <w:lang w:val="en-US" w:eastAsia="zh-CN"/>
        </w:rPr>
        <w:t>、</w:t>
      </w:r>
      <w:r>
        <w:rPr>
          <w:rFonts w:hint="default" w:ascii="仿宋" w:hAnsi="仿宋" w:eastAsia="仿宋" w:cs="仿宋"/>
          <w:b/>
          <w:bCs/>
          <w:sz w:val="24"/>
          <w:szCs w:val="24"/>
          <w:highlight w:val="none"/>
          <w:lang w:val="en-US" w:eastAsia="zh-CN"/>
        </w:rPr>
        <w:t>其他条款</w:t>
      </w:r>
      <w:r>
        <w:rPr>
          <w:rFonts w:hint="eastAsia" w:ascii="仿宋" w:hAnsi="仿宋" w:eastAsia="仿宋" w:cs="仿宋"/>
          <w:b/>
          <w:bCs/>
          <w:sz w:val="24"/>
          <w:szCs w:val="24"/>
          <w:highlight w:val="none"/>
          <w:lang w:val="en-US" w:eastAsia="zh-CN"/>
        </w:rPr>
        <w:t>：</w:t>
      </w:r>
    </w:p>
    <w:p w14:paraId="1FC38B93">
      <w:pPr>
        <w:numPr>
          <w:ilvl w:val="0"/>
          <w:numId w:val="0"/>
        </w:numPr>
        <w:ind w:left="0" w:leftChars="0" w:right="105" w:rightChars="50" w:firstLine="638" w:firstLineChars="266"/>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15.1</w:t>
      </w:r>
      <w:r>
        <w:rPr>
          <w:rFonts w:hint="default" w:ascii="Times New Roman" w:hAnsi="Times New Roman" w:eastAsia="方正仿宋_GBK" w:cs="Times New Roman"/>
          <w:sz w:val="24"/>
          <w:szCs w:val="24"/>
          <w:highlight w:val="none"/>
          <w:lang w:val="en-US" w:eastAsia="zh-CN"/>
        </w:rPr>
        <w:t>本合同自双方签字盖章之日起生效，至双方权利义务履行完毕之日止</w:t>
      </w:r>
      <w:r>
        <w:rPr>
          <w:rFonts w:hint="eastAsia" w:ascii="Times New Roman" w:hAnsi="Times New Roman" w:eastAsia="方正仿宋_GBK" w:cs="Times New Roman"/>
          <w:sz w:val="24"/>
          <w:szCs w:val="24"/>
          <w:highlight w:val="none"/>
          <w:lang w:val="en-US" w:eastAsia="zh-CN"/>
        </w:rPr>
        <w:t>；</w:t>
      </w:r>
    </w:p>
    <w:p w14:paraId="05DCC273">
      <w:pPr>
        <w:numPr>
          <w:ilvl w:val="0"/>
          <w:numId w:val="0"/>
        </w:numPr>
        <w:ind w:left="0" w:leftChars="0" w:right="105" w:rightChars="50" w:firstLine="638" w:firstLineChars="266"/>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15.2本合同一式陆份，甲方执肆份，乙方执贰份，具有同等法律效力；</w:t>
      </w:r>
    </w:p>
    <w:p w14:paraId="3F04F937">
      <w:pPr>
        <w:numPr>
          <w:ilvl w:val="0"/>
          <w:numId w:val="0"/>
        </w:numPr>
        <w:ind w:left="0" w:leftChars="0" w:right="105" w:rightChars="50" w:firstLine="638" w:firstLineChars="266"/>
        <w:rPr>
          <w:rFonts w:hint="eastAsia" w:ascii="Times New Roman" w:hAnsi="Times New Roman" w:eastAsia="方正仿宋_GBK" w:cs="Times New Roman"/>
          <w:sz w:val="24"/>
          <w:szCs w:val="24"/>
          <w:highlight w:val="none"/>
          <w:lang w:val="en-US" w:eastAsia="zh-CN"/>
        </w:rPr>
      </w:pPr>
      <w:r>
        <w:rPr>
          <w:rFonts w:hint="eastAsia" w:ascii="Times New Roman" w:hAnsi="Times New Roman" w:eastAsia="方正仿宋_GBK" w:cs="Times New Roman"/>
          <w:sz w:val="24"/>
          <w:szCs w:val="24"/>
          <w:highlight w:val="none"/>
          <w:lang w:val="en-US" w:eastAsia="zh-CN"/>
        </w:rPr>
        <w:t>（以下无正文）</w:t>
      </w:r>
    </w:p>
    <w:p w14:paraId="0BFFCCC0">
      <w:pPr>
        <w:ind w:firstLine="480" w:firstLineChars="200"/>
        <w:rPr>
          <w:rFonts w:hint="eastAsia" w:ascii="方正仿宋_GBK" w:hAnsi="方正仿宋_GBK" w:eastAsia="方正仿宋_GBK" w:cs="方正仿宋_GBK"/>
          <w:sz w:val="24"/>
          <w:szCs w:val="24"/>
          <w:lang w:val="en-US" w:eastAsia="zh-CN"/>
        </w:rPr>
      </w:pPr>
    </w:p>
    <w:p w14:paraId="0618BFBB">
      <w:pPr>
        <w:rPr>
          <w:rFonts w:hint="eastAsia" w:ascii="方正仿宋_GBK" w:hAnsi="方正仿宋_GBK" w:eastAsia="方正仿宋_GBK" w:cs="方正仿宋_GBK"/>
          <w:sz w:val="24"/>
          <w:szCs w:val="24"/>
          <w:lang w:val="en-US" w:eastAsia="zh-CN"/>
        </w:rPr>
      </w:pPr>
    </w:p>
    <w:p w14:paraId="2AEE7394">
      <w:pPr>
        <w:ind w:firstLine="480" w:firstLineChars="200"/>
        <w:rPr>
          <w:rFonts w:hint="eastAsia" w:ascii="方正仿宋_GBK" w:hAnsi="方正仿宋_GBK" w:eastAsia="方正仿宋_GBK" w:cs="方正仿宋_GBK"/>
          <w:sz w:val="24"/>
          <w:szCs w:val="24"/>
          <w:lang w:val="en-US" w:eastAsia="zh-CN"/>
        </w:rPr>
      </w:pPr>
    </w:p>
    <w:p w14:paraId="2BA5FFE8">
      <w:pPr>
        <w:ind w:firstLine="480" w:firstLineChars="200"/>
        <w:rPr>
          <w:rFonts w:hint="eastAsia" w:ascii="方正仿宋_GBK" w:hAnsi="方正仿宋_GBK" w:eastAsia="方正仿宋_GBK" w:cs="方正仿宋_GBK"/>
          <w:sz w:val="24"/>
          <w:szCs w:val="24"/>
          <w:lang w:val="en-US" w:eastAsia="zh-CN"/>
        </w:rPr>
      </w:pPr>
    </w:p>
    <w:p w14:paraId="78A1DDA1">
      <w:pPr>
        <w:ind w:firstLine="480" w:firstLineChars="200"/>
        <w:rPr>
          <w:rFonts w:hint="eastAsia" w:ascii="方正仿宋_GBK" w:hAnsi="方正仿宋_GBK" w:eastAsia="方正仿宋_GBK" w:cs="方正仿宋_GBK"/>
          <w:sz w:val="24"/>
          <w:szCs w:val="24"/>
          <w:lang w:val="en-US" w:eastAsia="zh-CN"/>
        </w:rPr>
      </w:pPr>
    </w:p>
    <w:p w14:paraId="04A74D08">
      <w:pPr>
        <w:ind w:firstLine="480" w:firstLineChars="200"/>
        <w:rPr>
          <w:rFonts w:hint="eastAsia" w:ascii="方正仿宋_GBK" w:hAnsi="方正仿宋_GBK" w:eastAsia="方正仿宋_GBK" w:cs="方正仿宋_GBK"/>
          <w:sz w:val="24"/>
          <w:szCs w:val="24"/>
          <w:lang w:val="en-US" w:eastAsia="zh-CN"/>
        </w:rPr>
      </w:pPr>
    </w:p>
    <w:p w14:paraId="4CC36D9B">
      <w:pPr>
        <w:ind w:firstLine="480" w:firstLineChars="200"/>
        <w:rPr>
          <w:rFonts w:hint="eastAsia" w:ascii="方正仿宋_GBK" w:hAnsi="方正仿宋_GBK" w:eastAsia="方正仿宋_GBK" w:cs="方正仿宋_GBK"/>
          <w:sz w:val="24"/>
          <w:szCs w:val="24"/>
          <w:lang w:val="en-US" w:eastAsia="zh-CN"/>
        </w:rPr>
      </w:pPr>
    </w:p>
    <w:p w14:paraId="40B24637">
      <w:pPr>
        <w:ind w:firstLine="480" w:firstLineChars="200"/>
        <w:rPr>
          <w:rFonts w:hint="eastAsia" w:ascii="方正仿宋_GBK" w:hAnsi="方正仿宋_GBK" w:eastAsia="方正仿宋_GBK" w:cs="方正仿宋_GBK"/>
          <w:sz w:val="24"/>
          <w:szCs w:val="24"/>
          <w:lang w:val="en-US" w:eastAsia="zh-CN"/>
        </w:rPr>
      </w:pPr>
    </w:p>
    <w:p w14:paraId="18B8F18D">
      <w:pPr>
        <w:ind w:firstLine="480" w:firstLineChars="200"/>
        <w:rPr>
          <w:rFonts w:hint="eastAsia" w:ascii="方正仿宋_GBK" w:hAnsi="方正仿宋_GBK" w:eastAsia="方正仿宋_GBK" w:cs="方正仿宋_GBK"/>
          <w:sz w:val="24"/>
          <w:szCs w:val="24"/>
          <w:lang w:val="en-US" w:eastAsia="zh-CN"/>
        </w:rPr>
      </w:pPr>
    </w:p>
    <w:p w14:paraId="37DBED84">
      <w:pPr>
        <w:ind w:firstLine="480" w:firstLineChars="200"/>
        <w:rPr>
          <w:rFonts w:hint="eastAsia" w:ascii="方正仿宋_GBK" w:hAnsi="方正仿宋_GBK" w:eastAsia="方正仿宋_GBK" w:cs="方正仿宋_GBK"/>
          <w:sz w:val="24"/>
          <w:szCs w:val="24"/>
          <w:lang w:val="en-US" w:eastAsia="zh-CN"/>
        </w:rPr>
      </w:pPr>
    </w:p>
    <w:p w14:paraId="54B7660B">
      <w:pPr>
        <w:ind w:firstLine="480" w:firstLineChars="200"/>
        <w:rPr>
          <w:rFonts w:hint="eastAsia" w:ascii="方正仿宋_GBK" w:hAnsi="方正仿宋_GBK" w:eastAsia="方正仿宋_GBK" w:cs="方正仿宋_GBK"/>
          <w:sz w:val="24"/>
          <w:szCs w:val="24"/>
          <w:lang w:val="en-US" w:eastAsia="zh-CN"/>
        </w:rPr>
      </w:pPr>
    </w:p>
    <w:p w14:paraId="4FC90BA7">
      <w:pPr>
        <w:ind w:firstLine="480" w:firstLineChars="200"/>
        <w:rPr>
          <w:rFonts w:hint="eastAsia" w:ascii="方正仿宋_GBK" w:hAnsi="方正仿宋_GBK" w:eastAsia="方正仿宋_GBK" w:cs="方正仿宋_GBK"/>
          <w:sz w:val="24"/>
          <w:szCs w:val="24"/>
          <w:lang w:val="en-US" w:eastAsia="zh-CN"/>
        </w:rPr>
      </w:pPr>
    </w:p>
    <w:p w14:paraId="313AA978">
      <w:pPr>
        <w:ind w:firstLine="480" w:firstLineChars="200"/>
        <w:rPr>
          <w:rFonts w:hint="eastAsia" w:ascii="方正仿宋_GB2312" w:hAnsi="方正仿宋_GB2312" w:eastAsia="方正仿宋_GB2312" w:cs="方正仿宋_GB2312"/>
          <w:sz w:val="28"/>
          <w:szCs w:val="28"/>
          <w:lang w:val="en-US" w:eastAsia="zh-CN"/>
        </w:rPr>
      </w:pPr>
      <w:r>
        <w:rPr>
          <w:rFonts w:hint="eastAsia" w:ascii="方正仿宋_GBK" w:hAnsi="方正仿宋_GBK" w:eastAsia="方正仿宋_GBK" w:cs="方正仿宋_GBK"/>
          <w:sz w:val="24"/>
          <w:szCs w:val="24"/>
          <w:lang w:val="en-US" w:eastAsia="zh-CN"/>
        </w:rPr>
        <w:t>（此页为合同签署页）</w:t>
      </w:r>
    </w:p>
    <w:p w14:paraId="3581068D">
      <w:pPr>
        <w:ind w:firstLine="560" w:firstLineChars="200"/>
        <w:rPr>
          <w:rFonts w:hint="eastAsia" w:ascii="方正仿宋_GB2312" w:hAnsi="方正仿宋_GB2312" w:eastAsia="方正仿宋_GB2312" w:cs="方正仿宋_GB2312"/>
          <w:sz w:val="28"/>
          <w:szCs w:val="28"/>
          <w:lang w:val="en-US" w:eastAsia="zh-CN"/>
        </w:rPr>
      </w:pPr>
    </w:p>
    <w:tbl>
      <w:tblPr>
        <w:tblStyle w:val="15"/>
        <w:tblW w:w="4998" w:type="pct"/>
        <w:jc w:val="center"/>
        <w:tblLayout w:type="autofit"/>
        <w:tblCellMar>
          <w:top w:w="0" w:type="dxa"/>
          <w:left w:w="108" w:type="dxa"/>
          <w:bottom w:w="0" w:type="dxa"/>
          <w:right w:w="108" w:type="dxa"/>
        </w:tblCellMar>
      </w:tblPr>
      <w:tblGrid>
        <w:gridCol w:w="4313"/>
        <w:gridCol w:w="4314"/>
      </w:tblGrid>
      <w:tr w14:paraId="0C584EEB">
        <w:tblPrEx>
          <w:tblCellMar>
            <w:top w:w="0" w:type="dxa"/>
            <w:left w:w="108" w:type="dxa"/>
            <w:bottom w:w="0" w:type="dxa"/>
            <w:right w:w="108" w:type="dxa"/>
          </w:tblCellMar>
        </w:tblPrEx>
        <w:trPr>
          <w:trHeight w:val="1379" w:hRule="atLeast"/>
          <w:jc w:val="center"/>
        </w:trPr>
        <w:tc>
          <w:tcPr>
            <w:tcW w:w="4313" w:type="dxa"/>
            <w:vAlign w:val="top"/>
          </w:tcPr>
          <w:p w14:paraId="69873817">
            <w:pPr>
              <w:tabs>
                <w:tab w:val="left" w:pos="4718"/>
              </w:tabs>
              <w:spacing w:line="360" w:lineRule="auto"/>
              <w:contextualSpacing/>
              <w:rPr>
                <w:rFonts w:hint="default" w:ascii="Times New Roman" w:hAnsi="Times New Roman" w:eastAsia="方正仿宋_GBK" w:cs="Times New Roman"/>
                <w:b/>
                <w:sz w:val="24"/>
                <w:szCs w:val="24"/>
                <w:u w:val="single"/>
              </w:rPr>
            </w:pPr>
            <w:r>
              <w:rPr>
                <w:rFonts w:hint="default" w:ascii="Times New Roman" w:hAnsi="Times New Roman" w:eastAsia="方正仿宋_GBK" w:cs="Times New Roman"/>
                <w:sz w:val="24"/>
                <w:szCs w:val="22"/>
                <w:highlight w:val="none"/>
                <w:lang w:eastAsia="zh-CN"/>
              </w:rPr>
              <w:t>甲    方：重庆环保投资集团有限公司（盖章）</w:t>
            </w:r>
          </w:p>
        </w:tc>
        <w:tc>
          <w:tcPr>
            <w:tcW w:w="4314" w:type="dxa"/>
            <w:vAlign w:val="top"/>
          </w:tcPr>
          <w:p w14:paraId="5FDDC455">
            <w:pPr>
              <w:tabs>
                <w:tab w:val="left" w:pos="4718"/>
              </w:tabs>
              <w:spacing w:line="360" w:lineRule="auto"/>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2"/>
                <w:highlight w:val="none"/>
                <w:lang w:eastAsia="zh-CN"/>
              </w:rPr>
              <w:t>乙    方：（盖章）</w:t>
            </w:r>
          </w:p>
        </w:tc>
      </w:tr>
      <w:tr w14:paraId="5ED1BBD4">
        <w:tblPrEx>
          <w:tblCellMar>
            <w:top w:w="0" w:type="dxa"/>
            <w:left w:w="108" w:type="dxa"/>
            <w:bottom w:w="0" w:type="dxa"/>
            <w:right w:w="108" w:type="dxa"/>
          </w:tblCellMar>
        </w:tblPrEx>
        <w:trPr>
          <w:trHeight w:val="1417" w:hRule="atLeast"/>
          <w:jc w:val="center"/>
        </w:trPr>
        <w:tc>
          <w:tcPr>
            <w:tcW w:w="4313" w:type="dxa"/>
            <w:vAlign w:val="top"/>
          </w:tcPr>
          <w:p w14:paraId="2B3AE53F">
            <w:pPr>
              <w:tabs>
                <w:tab w:val="left" w:pos="4718"/>
              </w:tabs>
              <w:spacing w:line="360" w:lineRule="auto"/>
              <w:contextualSpacing/>
              <w:jc w:val="both"/>
              <w:rPr>
                <w:rFonts w:hint="default" w:ascii="Times New Roman" w:hAnsi="Times New Roman" w:eastAsia="方正仿宋_GBK" w:cs="Times New Roman"/>
                <w:spacing w:val="-8"/>
                <w:position w:val="1"/>
                <w:sz w:val="24"/>
                <w:szCs w:val="20"/>
                <w:highlight w:val="none"/>
                <w:lang w:eastAsia="zh-CN"/>
              </w:rPr>
            </w:pPr>
            <w:r>
              <w:rPr>
                <w:rFonts w:hint="default" w:ascii="Times New Roman" w:hAnsi="Times New Roman" w:eastAsia="方正仿宋_GBK" w:cs="Times New Roman"/>
                <w:sz w:val="24"/>
                <w:szCs w:val="22"/>
                <w:highlight w:val="none"/>
                <w:lang w:eastAsia="zh-CN"/>
              </w:rPr>
              <w:t>公司地址：</w:t>
            </w:r>
            <w:r>
              <w:rPr>
                <w:rFonts w:hint="default" w:ascii="Times New Roman" w:hAnsi="Times New Roman" w:eastAsia="方正仿宋_GBK" w:cs="Times New Roman"/>
                <w:spacing w:val="-8"/>
                <w:position w:val="1"/>
                <w:sz w:val="24"/>
                <w:szCs w:val="20"/>
                <w:highlight w:val="none"/>
                <w:lang w:eastAsia="zh-CN"/>
              </w:rPr>
              <w:t>重庆市渝北区礼嘉街道礼环南路102号8号楼</w:t>
            </w:r>
          </w:p>
          <w:p w14:paraId="331AE900">
            <w:pPr>
              <w:tabs>
                <w:tab w:val="left" w:pos="4718"/>
              </w:tabs>
              <w:spacing w:line="360" w:lineRule="auto"/>
              <w:contextualSpacing/>
              <w:jc w:val="both"/>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2"/>
                <w:highlight w:val="none"/>
                <w:lang w:eastAsia="zh-CN"/>
              </w:rPr>
              <w:t xml:space="preserve"> </w:t>
            </w:r>
          </w:p>
        </w:tc>
        <w:tc>
          <w:tcPr>
            <w:tcW w:w="4314" w:type="dxa"/>
            <w:vAlign w:val="top"/>
          </w:tcPr>
          <w:p w14:paraId="590B7DF1">
            <w:pPr>
              <w:tabs>
                <w:tab w:val="left" w:pos="4718"/>
              </w:tabs>
              <w:spacing w:line="360" w:lineRule="auto"/>
              <w:contextualSpacing/>
              <w:jc w:val="both"/>
              <w:rPr>
                <w:rFonts w:hint="default" w:ascii="Times New Roman" w:hAnsi="Times New Roman" w:eastAsia="方正仿宋_GBK" w:cs="Times New Roman"/>
                <w:sz w:val="24"/>
                <w:szCs w:val="22"/>
                <w:highlight w:val="none"/>
                <w:lang w:eastAsia="zh-CN"/>
              </w:rPr>
            </w:pPr>
            <w:r>
              <w:rPr>
                <w:rFonts w:hint="default" w:ascii="Times New Roman" w:hAnsi="Times New Roman" w:eastAsia="方正仿宋_GBK" w:cs="Times New Roman"/>
                <w:sz w:val="24"/>
                <w:szCs w:val="22"/>
                <w:highlight w:val="none"/>
                <w:lang w:eastAsia="zh-CN"/>
              </w:rPr>
              <w:t>公司地址：</w:t>
            </w:r>
          </w:p>
          <w:p w14:paraId="7C236B79">
            <w:pPr>
              <w:tabs>
                <w:tab w:val="left" w:pos="4718"/>
              </w:tabs>
              <w:spacing w:line="360" w:lineRule="auto"/>
              <w:contextualSpacing/>
              <w:jc w:val="both"/>
              <w:rPr>
                <w:rFonts w:hint="default" w:ascii="Times New Roman" w:hAnsi="Times New Roman" w:eastAsia="方正仿宋_GBK" w:cs="Times New Roman"/>
                <w:sz w:val="24"/>
                <w:szCs w:val="24"/>
              </w:rPr>
            </w:pPr>
          </w:p>
        </w:tc>
      </w:tr>
      <w:tr w14:paraId="159CAB44">
        <w:tblPrEx>
          <w:tblCellMar>
            <w:top w:w="0" w:type="dxa"/>
            <w:left w:w="108" w:type="dxa"/>
            <w:bottom w:w="0" w:type="dxa"/>
            <w:right w:w="108" w:type="dxa"/>
          </w:tblCellMar>
        </w:tblPrEx>
        <w:trPr>
          <w:trHeight w:val="939" w:hRule="exact"/>
          <w:jc w:val="center"/>
        </w:trPr>
        <w:tc>
          <w:tcPr>
            <w:tcW w:w="4313" w:type="dxa"/>
            <w:vAlign w:val="top"/>
          </w:tcPr>
          <w:p w14:paraId="73FA234A">
            <w:pPr>
              <w:tabs>
                <w:tab w:val="left" w:pos="4718"/>
              </w:tabs>
              <w:spacing w:line="360" w:lineRule="auto"/>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2"/>
                <w:highlight w:val="none"/>
              </w:rPr>
              <w:t xml:space="preserve">法定（委托）代表人：  </w:t>
            </w:r>
          </w:p>
        </w:tc>
        <w:tc>
          <w:tcPr>
            <w:tcW w:w="4314" w:type="dxa"/>
            <w:vAlign w:val="top"/>
          </w:tcPr>
          <w:p w14:paraId="2D46DF02">
            <w:pPr>
              <w:tabs>
                <w:tab w:val="left" w:pos="4718"/>
              </w:tabs>
              <w:spacing w:line="360" w:lineRule="auto"/>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2"/>
                <w:highlight w:val="none"/>
              </w:rPr>
              <w:t xml:space="preserve">法定（委托）代表人：  </w:t>
            </w:r>
          </w:p>
        </w:tc>
      </w:tr>
      <w:tr w14:paraId="044AE92E">
        <w:tblPrEx>
          <w:tblCellMar>
            <w:top w:w="0" w:type="dxa"/>
            <w:left w:w="108" w:type="dxa"/>
            <w:bottom w:w="0" w:type="dxa"/>
            <w:right w:w="108" w:type="dxa"/>
          </w:tblCellMar>
        </w:tblPrEx>
        <w:trPr>
          <w:trHeight w:val="834" w:hRule="exact"/>
          <w:jc w:val="center"/>
        </w:trPr>
        <w:tc>
          <w:tcPr>
            <w:tcW w:w="4313" w:type="dxa"/>
            <w:vAlign w:val="top"/>
          </w:tcPr>
          <w:p w14:paraId="6253B6AC">
            <w:pPr>
              <w:pStyle w:val="6"/>
              <w:spacing w:before="239" w:line="227" w:lineRule="auto"/>
              <w:rPr>
                <w:rFonts w:hint="default" w:ascii="Times New Roman" w:hAnsi="Times New Roman" w:eastAsia="方正仿宋_GBK" w:cs="Times New Roman"/>
                <w:spacing w:val="-8"/>
                <w:position w:val="1"/>
                <w:sz w:val="24"/>
                <w:szCs w:val="20"/>
                <w:highlight w:val="none"/>
                <w:lang w:eastAsia="zh-CN"/>
              </w:rPr>
            </w:pPr>
            <w:r>
              <w:rPr>
                <w:rFonts w:hint="default" w:ascii="Times New Roman" w:hAnsi="Times New Roman" w:eastAsia="方正仿宋_GBK" w:cs="Times New Roman"/>
                <w:spacing w:val="-8"/>
                <w:position w:val="1"/>
                <w:sz w:val="24"/>
                <w:szCs w:val="20"/>
                <w:highlight w:val="none"/>
                <w:lang w:eastAsia="zh-CN"/>
              </w:rPr>
              <w:t>经 办 人：</w:t>
            </w:r>
          </w:p>
          <w:p w14:paraId="03EA4EA9">
            <w:pPr>
              <w:tabs>
                <w:tab w:val="left" w:pos="4718"/>
              </w:tabs>
              <w:spacing w:line="360" w:lineRule="auto"/>
              <w:contextualSpacing/>
              <w:rPr>
                <w:rFonts w:hint="default" w:ascii="Times New Roman" w:hAnsi="Times New Roman" w:eastAsia="方正仿宋_GBK" w:cs="Times New Roman"/>
                <w:sz w:val="24"/>
                <w:szCs w:val="24"/>
              </w:rPr>
            </w:pPr>
          </w:p>
        </w:tc>
        <w:tc>
          <w:tcPr>
            <w:tcW w:w="4314" w:type="dxa"/>
            <w:vAlign w:val="top"/>
          </w:tcPr>
          <w:p w14:paraId="14ED3648">
            <w:pPr>
              <w:tabs>
                <w:tab w:val="left" w:pos="4718"/>
              </w:tabs>
              <w:spacing w:line="360" w:lineRule="auto"/>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8"/>
                <w:position w:val="1"/>
                <w:sz w:val="24"/>
                <w:szCs w:val="20"/>
                <w:highlight w:val="none"/>
                <w:lang w:eastAsia="zh-CN"/>
              </w:rPr>
              <w:t>经 办 人：</w:t>
            </w:r>
          </w:p>
        </w:tc>
      </w:tr>
      <w:tr w14:paraId="6B480E6B">
        <w:tblPrEx>
          <w:tblCellMar>
            <w:top w:w="0" w:type="dxa"/>
            <w:left w:w="108" w:type="dxa"/>
            <w:bottom w:w="0" w:type="dxa"/>
            <w:right w:w="108" w:type="dxa"/>
          </w:tblCellMar>
        </w:tblPrEx>
        <w:trPr>
          <w:trHeight w:val="789" w:hRule="exact"/>
          <w:jc w:val="center"/>
        </w:trPr>
        <w:tc>
          <w:tcPr>
            <w:tcW w:w="4313" w:type="dxa"/>
            <w:vAlign w:val="top"/>
          </w:tcPr>
          <w:p w14:paraId="0880D1D7">
            <w:pPr>
              <w:tabs>
                <w:tab w:val="left" w:pos="4718"/>
              </w:tabs>
              <w:spacing w:line="360" w:lineRule="auto"/>
              <w:contextualSpacing/>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pacing w:val="-8"/>
                <w:position w:val="1"/>
                <w:sz w:val="24"/>
                <w:szCs w:val="20"/>
                <w:highlight w:val="none"/>
                <w:lang w:eastAsia="zh-CN"/>
              </w:rPr>
              <w:t>电    话：</w:t>
            </w:r>
          </w:p>
        </w:tc>
        <w:tc>
          <w:tcPr>
            <w:tcW w:w="4314" w:type="dxa"/>
            <w:vAlign w:val="top"/>
          </w:tcPr>
          <w:p w14:paraId="7E0F3341">
            <w:pPr>
              <w:tabs>
                <w:tab w:val="left" w:pos="4718"/>
              </w:tabs>
              <w:spacing w:line="360" w:lineRule="auto"/>
              <w:contextualSpacing/>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pacing w:val="-8"/>
                <w:position w:val="1"/>
                <w:sz w:val="24"/>
                <w:szCs w:val="20"/>
                <w:highlight w:val="none"/>
                <w:lang w:eastAsia="zh-CN"/>
              </w:rPr>
              <w:t>电    话：</w:t>
            </w:r>
          </w:p>
        </w:tc>
      </w:tr>
      <w:tr w14:paraId="65F0EA59">
        <w:tblPrEx>
          <w:tblCellMar>
            <w:top w:w="0" w:type="dxa"/>
            <w:left w:w="108" w:type="dxa"/>
            <w:bottom w:w="0" w:type="dxa"/>
            <w:right w:w="108" w:type="dxa"/>
          </w:tblCellMar>
        </w:tblPrEx>
        <w:trPr>
          <w:trHeight w:val="774" w:hRule="exact"/>
          <w:jc w:val="center"/>
        </w:trPr>
        <w:tc>
          <w:tcPr>
            <w:tcW w:w="4313" w:type="dxa"/>
            <w:vAlign w:val="top"/>
          </w:tcPr>
          <w:p w14:paraId="45693BAE">
            <w:pPr>
              <w:tabs>
                <w:tab w:val="left" w:pos="4718"/>
              </w:tabs>
              <w:spacing w:line="360" w:lineRule="auto"/>
              <w:contextualSpacing/>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2"/>
                <w:highlight w:val="none"/>
              </w:rPr>
              <w:t>邮政编码：</w:t>
            </w:r>
          </w:p>
        </w:tc>
        <w:tc>
          <w:tcPr>
            <w:tcW w:w="4314" w:type="dxa"/>
            <w:vAlign w:val="top"/>
          </w:tcPr>
          <w:p w14:paraId="438C44C1">
            <w:pPr>
              <w:tabs>
                <w:tab w:val="left" w:pos="4718"/>
              </w:tabs>
              <w:spacing w:line="360" w:lineRule="auto"/>
              <w:contextualSpacing/>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2"/>
                <w:highlight w:val="none"/>
              </w:rPr>
              <w:t>邮政编码：</w:t>
            </w:r>
          </w:p>
        </w:tc>
      </w:tr>
      <w:tr w14:paraId="47992E04">
        <w:tblPrEx>
          <w:tblCellMar>
            <w:top w:w="0" w:type="dxa"/>
            <w:left w:w="108" w:type="dxa"/>
            <w:bottom w:w="0" w:type="dxa"/>
            <w:right w:w="108" w:type="dxa"/>
          </w:tblCellMar>
        </w:tblPrEx>
        <w:trPr>
          <w:trHeight w:val="669" w:hRule="exact"/>
          <w:jc w:val="center"/>
        </w:trPr>
        <w:tc>
          <w:tcPr>
            <w:tcW w:w="4313" w:type="dxa"/>
            <w:vAlign w:val="top"/>
          </w:tcPr>
          <w:p w14:paraId="6E7E93FE">
            <w:pPr>
              <w:tabs>
                <w:tab w:val="left" w:pos="4718"/>
              </w:tabs>
              <w:spacing w:line="360" w:lineRule="auto"/>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2"/>
                <w:highlight w:val="none"/>
              </w:rPr>
              <w:t>传    真：</w:t>
            </w:r>
          </w:p>
        </w:tc>
        <w:tc>
          <w:tcPr>
            <w:tcW w:w="4314" w:type="dxa"/>
            <w:vAlign w:val="top"/>
          </w:tcPr>
          <w:p w14:paraId="01D89444">
            <w:pPr>
              <w:tabs>
                <w:tab w:val="left" w:pos="4718"/>
              </w:tabs>
              <w:spacing w:line="360" w:lineRule="auto"/>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2"/>
                <w:highlight w:val="none"/>
              </w:rPr>
              <w:t xml:space="preserve">传    真： </w:t>
            </w:r>
          </w:p>
        </w:tc>
      </w:tr>
      <w:tr w14:paraId="5D60E564">
        <w:tblPrEx>
          <w:tblCellMar>
            <w:top w:w="0" w:type="dxa"/>
            <w:left w:w="108" w:type="dxa"/>
            <w:bottom w:w="0" w:type="dxa"/>
            <w:right w:w="108" w:type="dxa"/>
          </w:tblCellMar>
        </w:tblPrEx>
        <w:trPr>
          <w:jc w:val="center"/>
        </w:trPr>
        <w:tc>
          <w:tcPr>
            <w:tcW w:w="4313" w:type="dxa"/>
            <w:vAlign w:val="top"/>
          </w:tcPr>
          <w:p w14:paraId="1E6095FF">
            <w:pPr>
              <w:pStyle w:val="6"/>
              <w:spacing w:before="239" w:line="227" w:lineRule="auto"/>
              <w:rPr>
                <w:rFonts w:hint="default" w:ascii="Times New Roman" w:hAnsi="Times New Roman" w:eastAsia="方正仿宋_GBK" w:cs="Times New Roman"/>
                <w:spacing w:val="-8"/>
                <w:position w:val="1"/>
                <w:sz w:val="24"/>
                <w:szCs w:val="20"/>
                <w:highlight w:val="none"/>
                <w:lang w:eastAsia="zh-CN"/>
              </w:rPr>
            </w:pPr>
            <w:r>
              <w:rPr>
                <w:rFonts w:hint="default" w:ascii="Times New Roman" w:hAnsi="Times New Roman" w:eastAsia="方正仿宋_GBK" w:cs="Times New Roman"/>
                <w:spacing w:val="-8"/>
                <w:position w:val="1"/>
                <w:sz w:val="24"/>
                <w:szCs w:val="20"/>
                <w:highlight w:val="none"/>
                <w:lang w:eastAsia="zh-CN"/>
              </w:rPr>
              <w:t>开户银行：重庆农村商业银行两江分</w:t>
            </w:r>
          </w:p>
          <w:p w14:paraId="3FBEF57D">
            <w:pPr>
              <w:tabs>
                <w:tab w:val="left" w:pos="4718"/>
              </w:tabs>
              <w:spacing w:line="360" w:lineRule="auto"/>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8"/>
                <w:position w:val="1"/>
                <w:sz w:val="24"/>
                <w:szCs w:val="20"/>
                <w:highlight w:val="none"/>
                <w:lang w:eastAsia="zh-CN"/>
              </w:rPr>
              <w:t>行北环支行</w:t>
            </w:r>
          </w:p>
        </w:tc>
        <w:tc>
          <w:tcPr>
            <w:tcW w:w="4314" w:type="dxa"/>
            <w:vAlign w:val="top"/>
          </w:tcPr>
          <w:p w14:paraId="6B595B24">
            <w:pPr>
              <w:pStyle w:val="6"/>
              <w:spacing w:before="239" w:line="227" w:lineRule="auto"/>
              <w:rPr>
                <w:rFonts w:hint="default" w:ascii="Times New Roman" w:hAnsi="Times New Roman" w:eastAsia="方正仿宋_GBK" w:cs="Times New Roman"/>
                <w:spacing w:val="-8"/>
                <w:position w:val="1"/>
                <w:sz w:val="24"/>
                <w:szCs w:val="20"/>
                <w:highlight w:val="none"/>
                <w:lang w:eastAsia="zh-CN"/>
              </w:rPr>
            </w:pPr>
            <w:r>
              <w:rPr>
                <w:rFonts w:hint="default" w:ascii="Times New Roman" w:hAnsi="Times New Roman" w:eastAsia="方正仿宋_GBK" w:cs="Times New Roman"/>
                <w:spacing w:val="-8"/>
                <w:position w:val="1"/>
                <w:sz w:val="24"/>
                <w:szCs w:val="20"/>
                <w:highlight w:val="none"/>
                <w:lang w:eastAsia="zh-CN"/>
              </w:rPr>
              <w:t>开户银行：</w:t>
            </w:r>
          </w:p>
          <w:p w14:paraId="6BDE5D19">
            <w:pPr>
              <w:tabs>
                <w:tab w:val="left" w:pos="4718"/>
              </w:tabs>
              <w:spacing w:line="360" w:lineRule="auto"/>
              <w:contextualSpacing/>
              <w:rPr>
                <w:rFonts w:hint="default" w:ascii="Times New Roman" w:hAnsi="Times New Roman" w:eastAsia="方正仿宋_GBK" w:cs="Times New Roman"/>
                <w:sz w:val="24"/>
                <w:szCs w:val="24"/>
              </w:rPr>
            </w:pPr>
          </w:p>
        </w:tc>
      </w:tr>
      <w:tr w14:paraId="0E6261C2">
        <w:tblPrEx>
          <w:tblCellMar>
            <w:top w:w="0" w:type="dxa"/>
            <w:left w:w="108" w:type="dxa"/>
            <w:bottom w:w="0" w:type="dxa"/>
            <w:right w:w="108" w:type="dxa"/>
          </w:tblCellMar>
        </w:tblPrEx>
        <w:trPr>
          <w:jc w:val="center"/>
        </w:trPr>
        <w:tc>
          <w:tcPr>
            <w:tcW w:w="4313" w:type="dxa"/>
            <w:vAlign w:val="top"/>
          </w:tcPr>
          <w:p w14:paraId="5492E0F9">
            <w:pPr>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8"/>
                <w:position w:val="1"/>
                <w:sz w:val="24"/>
                <w:szCs w:val="20"/>
                <w:highlight w:val="none"/>
                <w:lang w:eastAsia="zh-CN"/>
              </w:rPr>
              <w:t>账号：5109010120010000949</w:t>
            </w:r>
          </w:p>
        </w:tc>
        <w:tc>
          <w:tcPr>
            <w:tcW w:w="4314" w:type="dxa"/>
            <w:vAlign w:val="top"/>
          </w:tcPr>
          <w:p w14:paraId="6120697D">
            <w:pPr>
              <w:tabs>
                <w:tab w:val="left" w:pos="4718"/>
              </w:tabs>
              <w:spacing w:line="360" w:lineRule="auto"/>
              <w:contextualSpacing/>
              <w:rPr>
                <w:rFonts w:hint="default" w:ascii="Times New Roman" w:hAnsi="Times New Roman" w:eastAsia="方正仿宋_GBK" w:cs="Times New Roman"/>
                <w:sz w:val="24"/>
                <w:szCs w:val="24"/>
              </w:rPr>
            </w:pPr>
            <w:r>
              <w:rPr>
                <w:rFonts w:hint="default" w:ascii="Times New Roman" w:hAnsi="Times New Roman" w:eastAsia="方正仿宋_GBK" w:cs="Times New Roman"/>
                <w:spacing w:val="-8"/>
                <w:position w:val="1"/>
                <w:sz w:val="24"/>
                <w:szCs w:val="20"/>
                <w:highlight w:val="none"/>
                <w:lang w:eastAsia="zh-CN"/>
              </w:rPr>
              <w:t>账号：</w:t>
            </w:r>
          </w:p>
        </w:tc>
      </w:tr>
    </w:tbl>
    <w:p w14:paraId="2AA0B089">
      <w:pPr>
        <w:pStyle w:val="6"/>
        <w:rPr>
          <w:color w:val="auto"/>
        </w:rPr>
      </w:pPr>
    </w:p>
    <w:p w14:paraId="34243358">
      <w:pPr>
        <w:rPr>
          <w:color w:val="auto"/>
        </w:rPr>
      </w:pPr>
    </w:p>
    <w:p w14:paraId="10020D5B">
      <w:pPr>
        <w:pStyle w:val="6"/>
        <w:rPr>
          <w:color w:val="auto"/>
        </w:rPr>
      </w:pPr>
    </w:p>
    <w:p w14:paraId="6C67254B">
      <w:pPr>
        <w:rPr>
          <w:color w:val="auto"/>
        </w:rPr>
      </w:pPr>
    </w:p>
    <w:p w14:paraId="65291E52">
      <w:pPr>
        <w:pStyle w:val="6"/>
        <w:rPr>
          <w:color w:val="auto"/>
        </w:rPr>
      </w:pPr>
    </w:p>
    <w:p w14:paraId="7E21329A">
      <w:pPr>
        <w:rPr>
          <w:color w:val="auto"/>
        </w:rPr>
      </w:pPr>
    </w:p>
    <w:p w14:paraId="4A2F12B5">
      <w:pPr>
        <w:pStyle w:val="6"/>
        <w:rPr>
          <w:color w:val="auto"/>
        </w:rPr>
      </w:pPr>
    </w:p>
    <w:p w14:paraId="42E73378">
      <w:pPr>
        <w:rPr>
          <w:color w:val="auto"/>
        </w:rPr>
      </w:pPr>
    </w:p>
    <w:p w14:paraId="21F6BA8C">
      <w:pPr>
        <w:pStyle w:val="6"/>
        <w:rPr>
          <w:color w:val="auto"/>
        </w:rPr>
      </w:pPr>
    </w:p>
    <w:p w14:paraId="1973A6A2">
      <w:pPr>
        <w:rPr>
          <w:color w:val="auto"/>
        </w:rPr>
      </w:pPr>
    </w:p>
    <w:p w14:paraId="40F3B218">
      <w:pPr>
        <w:pStyle w:val="6"/>
        <w:rPr>
          <w:color w:val="auto"/>
        </w:rPr>
      </w:pPr>
    </w:p>
    <w:p w14:paraId="64A86889">
      <w:pPr>
        <w:rPr>
          <w:color w:val="auto"/>
        </w:rPr>
      </w:pPr>
    </w:p>
    <w:p w14:paraId="24F1D911">
      <w:pPr>
        <w:pStyle w:val="6"/>
        <w:rPr>
          <w:color w:val="auto"/>
        </w:rPr>
      </w:pPr>
    </w:p>
    <w:p w14:paraId="0CED9821">
      <w:pPr>
        <w:rPr>
          <w:color w:val="auto"/>
        </w:rPr>
      </w:pPr>
    </w:p>
    <w:p w14:paraId="787D222B">
      <w:pPr>
        <w:pStyle w:val="6"/>
        <w:rPr>
          <w:color w:val="auto"/>
        </w:rPr>
      </w:pPr>
    </w:p>
    <w:p w14:paraId="7D091F87">
      <w:pPr>
        <w:pStyle w:val="6"/>
        <w:rPr>
          <w:rFonts w:hint="eastAsia"/>
          <w:color w:val="auto"/>
        </w:rPr>
      </w:pPr>
      <w:bookmarkStart w:id="229" w:name="_Toc287607856"/>
      <w:bookmarkStart w:id="230" w:name="_Toc277082638"/>
      <w:bookmarkStart w:id="231" w:name="_Toc224103477"/>
      <w:bookmarkStart w:id="232" w:name="_Toc287620798"/>
      <w:bookmarkStart w:id="233" w:name="_Toc430530514"/>
    </w:p>
    <w:p w14:paraId="23F0A541">
      <w:pPr>
        <w:pStyle w:val="2"/>
        <w:widowControl w:val="0"/>
        <w:kinsoku/>
        <w:autoSpaceDE/>
        <w:autoSpaceDN/>
        <w:adjustRightInd/>
        <w:snapToGrid/>
        <w:spacing w:before="0" w:after="0" w:line="360" w:lineRule="auto"/>
        <w:jc w:val="center"/>
        <w:textAlignment w:val="auto"/>
        <w:rPr>
          <w:rFonts w:hint="eastAsia" w:ascii="宋体" w:hAnsi="宋体" w:eastAsia="宋体" w:cs="Times New Roman"/>
          <w:snapToGrid/>
          <w:color w:val="auto"/>
          <w:highlight w:val="none"/>
          <w:lang w:val="en-US" w:eastAsia="zh-CN" w:bidi="ar-SA"/>
        </w:rPr>
      </w:pPr>
      <w:bookmarkStart w:id="234" w:name="_Toc57820646"/>
      <w:bookmarkStart w:id="235" w:name="_Toc509218852"/>
      <w:bookmarkStart w:id="236" w:name="_Toc877"/>
      <w:bookmarkStart w:id="237" w:name="_Toc534185829"/>
      <w:bookmarkStart w:id="238" w:name="_Toc430530528"/>
      <w:bookmarkStart w:id="239" w:name="_Toc6982"/>
    </w:p>
    <w:p w14:paraId="66915B6B">
      <w:pPr>
        <w:pStyle w:val="2"/>
        <w:widowControl w:val="0"/>
        <w:kinsoku/>
        <w:autoSpaceDE/>
        <w:autoSpaceDN/>
        <w:adjustRightInd/>
        <w:snapToGrid/>
        <w:spacing w:before="0" w:after="0" w:line="360" w:lineRule="auto"/>
        <w:jc w:val="center"/>
        <w:textAlignment w:val="auto"/>
        <w:rPr>
          <w:rFonts w:hint="eastAsia" w:ascii="宋体" w:hAnsi="宋体" w:eastAsia="宋体" w:cs="Times New Roman"/>
          <w:snapToGrid/>
          <w:color w:val="auto"/>
          <w:highlight w:val="none"/>
          <w:lang w:val="en-US" w:eastAsia="zh-CN" w:bidi="ar-SA"/>
        </w:rPr>
      </w:pPr>
    </w:p>
    <w:p w14:paraId="1F143527">
      <w:pPr>
        <w:pStyle w:val="2"/>
        <w:widowControl w:val="0"/>
        <w:kinsoku/>
        <w:autoSpaceDE/>
        <w:autoSpaceDN/>
        <w:adjustRightInd/>
        <w:snapToGrid/>
        <w:spacing w:before="0" w:after="0" w:line="360" w:lineRule="auto"/>
        <w:jc w:val="center"/>
        <w:textAlignment w:val="auto"/>
        <w:rPr>
          <w:rFonts w:hint="eastAsia" w:ascii="宋体" w:hAnsi="宋体" w:eastAsia="宋体" w:cs="Times New Roman"/>
          <w:snapToGrid/>
          <w:color w:val="auto"/>
          <w:highlight w:val="none"/>
          <w:lang w:val="en-US" w:eastAsia="zh-CN" w:bidi="ar-SA"/>
        </w:rPr>
      </w:pPr>
    </w:p>
    <w:p w14:paraId="3DFB8A9B">
      <w:pPr>
        <w:rPr>
          <w:rFonts w:hint="eastAsia" w:ascii="宋体" w:hAnsi="宋体" w:eastAsia="宋体" w:cs="Times New Roman"/>
          <w:snapToGrid/>
          <w:color w:val="auto"/>
          <w:highlight w:val="none"/>
          <w:lang w:val="en-US" w:eastAsia="zh-CN" w:bidi="ar-SA"/>
        </w:rPr>
      </w:pPr>
    </w:p>
    <w:p w14:paraId="39B9B7AE">
      <w:pPr>
        <w:rPr>
          <w:rFonts w:hint="eastAsia" w:ascii="宋体" w:hAnsi="宋体" w:eastAsia="宋体" w:cs="Times New Roman"/>
          <w:snapToGrid/>
          <w:color w:val="auto"/>
          <w:highlight w:val="none"/>
          <w:lang w:val="en-US" w:eastAsia="zh-CN" w:bidi="ar-SA"/>
        </w:rPr>
      </w:pPr>
    </w:p>
    <w:p w14:paraId="0BE4DF81">
      <w:pPr>
        <w:rPr>
          <w:rFonts w:hint="eastAsia" w:ascii="宋体" w:hAnsi="宋体" w:eastAsia="宋体" w:cs="Times New Roman"/>
          <w:snapToGrid/>
          <w:color w:val="auto"/>
          <w:highlight w:val="none"/>
          <w:lang w:val="en-US" w:eastAsia="zh-CN" w:bidi="ar-SA"/>
        </w:rPr>
      </w:pPr>
    </w:p>
    <w:p w14:paraId="1804B8BB">
      <w:pPr>
        <w:rPr>
          <w:rFonts w:hint="eastAsia" w:ascii="宋体" w:hAnsi="宋体" w:eastAsia="宋体" w:cs="Times New Roman"/>
          <w:snapToGrid/>
          <w:color w:val="auto"/>
          <w:highlight w:val="none"/>
          <w:lang w:val="en-US" w:eastAsia="zh-CN" w:bidi="ar-SA"/>
        </w:rPr>
      </w:pPr>
    </w:p>
    <w:p w14:paraId="6B8BA34F">
      <w:pPr>
        <w:rPr>
          <w:rFonts w:hint="eastAsia" w:ascii="宋体" w:hAnsi="宋体" w:eastAsia="宋体" w:cs="Times New Roman"/>
          <w:snapToGrid/>
          <w:color w:val="auto"/>
          <w:highlight w:val="none"/>
          <w:lang w:val="en-US" w:eastAsia="zh-CN" w:bidi="ar-SA"/>
        </w:rPr>
      </w:pPr>
    </w:p>
    <w:p w14:paraId="7E6DC72A">
      <w:pPr>
        <w:rPr>
          <w:rFonts w:hint="eastAsia" w:ascii="宋体" w:hAnsi="宋体" w:eastAsia="宋体" w:cs="Times New Roman"/>
          <w:snapToGrid/>
          <w:color w:val="auto"/>
          <w:highlight w:val="none"/>
          <w:lang w:val="en-US" w:eastAsia="zh-CN" w:bidi="ar-SA"/>
        </w:rPr>
      </w:pPr>
    </w:p>
    <w:p w14:paraId="7562DCCB">
      <w:pPr>
        <w:rPr>
          <w:rFonts w:hint="eastAsia" w:ascii="宋体" w:hAnsi="宋体" w:eastAsia="宋体" w:cs="Times New Roman"/>
          <w:snapToGrid/>
          <w:color w:val="auto"/>
          <w:highlight w:val="none"/>
          <w:lang w:val="en-US" w:eastAsia="zh-CN" w:bidi="ar-SA"/>
        </w:rPr>
      </w:pPr>
    </w:p>
    <w:p w14:paraId="37528EF8">
      <w:pPr>
        <w:rPr>
          <w:rFonts w:hint="eastAsia" w:ascii="宋体" w:hAnsi="宋体" w:eastAsia="宋体" w:cs="Times New Roman"/>
          <w:snapToGrid/>
          <w:color w:val="auto"/>
          <w:highlight w:val="none"/>
          <w:lang w:val="en-US" w:eastAsia="zh-CN" w:bidi="ar-SA"/>
        </w:rPr>
      </w:pPr>
    </w:p>
    <w:p w14:paraId="6366B18C">
      <w:pPr>
        <w:rPr>
          <w:rFonts w:hint="eastAsia" w:ascii="宋体" w:hAnsi="宋体" w:eastAsia="宋体" w:cs="Times New Roman"/>
          <w:snapToGrid/>
          <w:color w:val="auto"/>
          <w:highlight w:val="none"/>
          <w:lang w:val="en-US" w:eastAsia="zh-CN" w:bidi="ar-SA"/>
        </w:rPr>
      </w:pPr>
    </w:p>
    <w:p w14:paraId="271140D9">
      <w:pPr>
        <w:rPr>
          <w:rFonts w:hint="eastAsia" w:ascii="宋体" w:hAnsi="宋体" w:eastAsia="宋体" w:cs="Times New Roman"/>
          <w:snapToGrid/>
          <w:color w:val="auto"/>
          <w:highlight w:val="none"/>
          <w:lang w:val="en-US" w:eastAsia="zh-CN" w:bidi="ar-SA"/>
        </w:rPr>
      </w:pPr>
    </w:p>
    <w:p w14:paraId="4F282AAC">
      <w:pPr>
        <w:rPr>
          <w:rFonts w:hint="eastAsia" w:ascii="宋体" w:hAnsi="宋体" w:eastAsia="宋体" w:cs="Times New Roman"/>
          <w:snapToGrid/>
          <w:color w:val="auto"/>
          <w:highlight w:val="none"/>
          <w:lang w:val="en-US" w:eastAsia="zh-CN" w:bidi="ar-SA"/>
        </w:rPr>
      </w:pPr>
    </w:p>
    <w:p w14:paraId="1720DBAE">
      <w:pPr>
        <w:rPr>
          <w:rFonts w:hint="eastAsia" w:ascii="宋体" w:hAnsi="宋体" w:eastAsia="宋体" w:cs="Times New Roman"/>
          <w:snapToGrid/>
          <w:color w:val="auto"/>
          <w:highlight w:val="none"/>
          <w:lang w:val="en-US" w:eastAsia="zh-CN" w:bidi="ar-SA"/>
        </w:rPr>
      </w:pPr>
    </w:p>
    <w:p w14:paraId="52C14264">
      <w:pPr>
        <w:pStyle w:val="2"/>
        <w:widowControl w:val="0"/>
        <w:kinsoku/>
        <w:autoSpaceDE/>
        <w:autoSpaceDN/>
        <w:adjustRightInd/>
        <w:snapToGrid/>
        <w:spacing w:before="0" w:after="0" w:line="360" w:lineRule="auto"/>
        <w:jc w:val="center"/>
        <w:textAlignment w:val="auto"/>
        <w:rPr>
          <w:rFonts w:hint="eastAsia" w:ascii="方正小标宋_GBK" w:hAnsi="方正小标宋_GBK" w:eastAsia="方正小标宋_GBK" w:cs="方正小标宋_GBK"/>
          <w:snapToGrid/>
          <w:color w:val="auto"/>
          <w:highlight w:val="none"/>
          <w:lang w:val="en-US" w:eastAsia="zh-CN" w:bidi="ar-SA"/>
        </w:rPr>
      </w:pPr>
      <w:r>
        <w:rPr>
          <w:rFonts w:hint="eastAsia" w:ascii="方正小标宋_GBK" w:hAnsi="方正小标宋_GBK" w:eastAsia="方正小标宋_GBK" w:cs="方正小标宋_GBK"/>
          <w:snapToGrid/>
          <w:color w:val="auto"/>
          <w:highlight w:val="none"/>
          <w:lang w:val="en-US" w:eastAsia="zh-CN" w:bidi="ar-SA"/>
        </w:rPr>
        <w:t>第五章 竞选文件格式</w:t>
      </w:r>
      <w:bookmarkEnd w:id="234"/>
      <w:bookmarkEnd w:id="235"/>
      <w:bookmarkEnd w:id="236"/>
      <w:bookmarkEnd w:id="237"/>
      <w:bookmarkEnd w:id="238"/>
      <w:bookmarkEnd w:id="239"/>
    </w:p>
    <w:p w14:paraId="1016D571">
      <w:pPr>
        <w:pStyle w:val="6"/>
        <w:rPr>
          <w:rFonts w:hint="eastAsia" w:ascii="宋体" w:hAnsi="宋体"/>
          <w:color w:val="auto"/>
          <w:sz w:val="52"/>
          <w:szCs w:val="52"/>
          <w:highlight w:val="none"/>
        </w:rPr>
      </w:pPr>
    </w:p>
    <w:p w14:paraId="5F25EB46">
      <w:pPr>
        <w:rPr>
          <w:rFonts w:hint="eastAsia" w:ascii="宋体" w:hAnsi="宋体"/>
          <w:color w:val="auto"/>
          <w:sz w:val="52"/>
          <w:szCs w:val="52"/>
          <w:highlight w:val="none"/>
        </w:rPr>
      </w:pPr>
    </w:p>
    <w:p w14:paraId="34AE0ACC">
      <w:pPr>
        <w:pStyle w:val="6"/>
        <w:rPr>
          <w:rFonts w:hint="eastAsia" w:ascii="宋体" w:hAnsi="宋体"/>
          <w:color w:val="auto"/>
          <w:sz w:val="52"/>
          <w:szCs w:val="52"/>
          <w:highlight w:val="none"/>
        </w:rPr>
      </w:pPr>
    </w:p>
    <w:p w14:paraId="55E1B54F">
      <w:pPr>
        <w:rPr>
          <w:rFonts w:hint="eastAsia" w:ascii="宋体" w:hAnsi="宋体"/>
          <w:color w:val="auto"/>
          <w:sz w:val="52"/>
          <w:szCs w:val="52"/>
          <w:highlight w:val="none"/>
        </w:rPr>
      </w:pPr>
    </w:p>
    <w:p w14:paraId="44660B3E">
      <w:pPr>
        <w:pStyle w:val="6"/>
        <w:rPr>
          <w:color w:val="auto"/>
        </w:rPr>
      </w:pPr>
    </w:p>
    <w:p w14:paraId="535FEFF1">
      <w:pPr>
        <w:rPr>
          <w:color w:val="auto"/>
        </w:rPr>
      </w:pPr>
    </w:p>
    <w:bookmarkEnd w:id="229"/>
    <w:bookmarkEnd w:id="230"/>
    <w:bookmarkEnd w:id="231"/>
    <w:bookmarkEnd w:id="232"/>
    <w:bookmarkEnd w:id="233"/>
    <w:p w14:paraId="28E37387">
      <w:pPr>
        <w:rPr>
          <w:rFonts w:hint="eastAsia" w:ascii="宋体" w:hAnsi="宋体" w:eastAsia="宋体" w:cs="Times New Roman"/>
          <w:snapToGrid/>
          <w:color w:val="auto"/>
          <w:sz w:val="52"/>
          <w:szCs w:val="52"/>
          <w:highlight w:val="none"/>
          <w:lang w:val="en-US" w:eastAsia="zh-CN" w:bidi="ar-SA"/>
        </w:rPr>
      </w:pPr>
    </w:p>
    <w:p w14:paraId="331C62D8">
      <w:pPr>
        <w:pStyle w:val="6"/>
        <w:rPr>
          <w:rFonts w:hint="eastAsia" w:ascii="宋体" w:hAnsi="宋体" w:eastAsia="宋体" w:cs="Times New Roman"/>
          <w:snapToGrid/>
          <w:color w:val="auto"/>
          <w:sz w:val="52"/>
          <w:szCs w:val="52"/>
          <w:highlight w:val="none"/>
          <w:lang w:val="en-US" w:eastAsia="zh-CN" w:bidi="ar-SA"/>
        </w:rPr>
      </w:pPr>
    </w:p>
    <w:p w14:paraId="440C1902">
      <w:pPr>
        <w:rPr>
          <w:rFonts w:hint="eastAsia" w:ascii="宋体" w:hAnsi="宋体" w:eastAsia="宋体" w:cs="Times New Roman"/>
          <w:snapToGrid/>
          <w:color w:val="auto"/>
          <w:sz w:val="52"/>
          <w:szCs w:val="52"/>
          <w:highlight w:val="none"/>
          <w:lang w:val="en-US" w:eastAsia="zh-CN" w:bidi="ar-SA"/>
        </w:rPr>
      </w:pPr>
    </w:p>
    <w:p w14:paraId="332311E0">
      <w:pPr>
        <w:pStyle w:val="6"/>
        <w:rPr>
          <w:rFonts w:hint="eastAsia" w:ascii="宋体" w:hAnsi="宋体" w:eastAsia="宋体" w:cs="Times New Roman"/>
          <w:snapToGrid/>
          <w:color w:val="auto"/>
          <w:sz w:val="52"/>
          <w:szCs w:val="52"/>
          <w:highlight w:val="none"/>
          <w:lang w:val="en-US" w:eastAsia="zh-CN" w:bidi="ar-SA"/>
        </w:rPr>
      </w:pPr>
    </w:p>
    <w:p w14:paraId="6A71FDB8">
      <w:pPr>
        <w:rPr>
          <w:rFonts w:hint="eastAsia" w:ascii="宋体" w:hAnsi="宋体" w:eastAsia="宋体" w:cs="Times New Roman"/>
          <w:snapToGrid/>
          <w:color w:val="auto"/>
          <w:sz w:val="52"/>
          <w:szCs w:val="52"/>
          <w:highlight w:val="none"/>
          <w:lang w:val="en-US" w:eastAsia="zh-CN" w:bidi="ar-SA"/>
        </w:rPr>
      </w:pPr>
    </w:p>
    <w:p w14:paraId="7421AC1A">
      <w:pPr>
        <w:rPr>
          <w:rFonts w:hint="eastAsia" w:ascii="宋体" w:hAnsi="宋体" w:eastAsia="宋体" w:cs="Times New Roman"/>
          <w:snapToGrid/>
          <w:color w:val="auto"/>
          <w:sz w:val="52"/>
          <w:szCs w:val="52"/>
          <w:highlight w:val="none"/>
          <w:lang w:val="en-US" w:eastAsia="zh-CN" w:bidi="ar-SA"/>
        </w:rPr>
      </w:pPr>
    </w:p>
    <w:p w14:paraId="4317D152">
      <w:pPr>
        <w:spacing w:line="360" w:lineRule="auto"/>
        <w:jc w:val="center"/>
        <w:rPr>
          <w:rFonts w:hint="eastAsia" w:ascii="方正小标宋_GBK" w:hAnsi="方正小标宋_GBK" w:eastAsia="方正小标宋_GBK" w:cs="方正小标宋_GBK"/>
          <w:color w:val="auto"/>
          <w:kern w:val="0"/>
          <w:sz w:val="32"/>
          <w:szCs w:val="32"/>
          <w:highlight w:val="none"/>
        </w:rPr>
      </w:pPr>
      <w:r>
        <w:rPr>
          <w:rFonts w:hint="eastAsia" w:ascii="方正小标宋_GBK" w:hAnsi="方正小标宋_GBK" w:eastAsia="方正小标宋_GBK" w:cs="方正小标宋_GBK"/>
          <w:color w:val="auto"/>
          <w:kern w:val="0"/>
          <w:sz w:val="32"/>
          <w:szCs w:val="32"/>
          <w:highlight w:val="none"/>
          <w:u w:val="single"/>
        </w:rPr>
        <w:t xml:space="preserve">                   （项目名称）</w:t>
      </w:r>
    </w:p>
    <w:p w14:paraId="2F3FD8F8">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5E215253">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2A45EE4D">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0041063C">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23094C33">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65A028CB">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6ACEFCE1">
      <w:pPr>
        <w:autoSpaceDE w:val="0"/>
        <w:autoSpaceDN w:val="0"/>
        <w:adjustRightInd w:val="0"/>
        <w:snapToGrid w:val="0"/>
        <w:spacing w:line="360" w:lineRule="auto"/>
        <w:jc w:val="center"/>
        <w:rPr>
          <w:rFonts w:hint="eastAsia" w:ascii="方正小标宋_GBK" w:hAnsi="方正小标宋_GBK" w:eastAsia="方正小标宋_GBK" w:cs="方正小标宋_GBK"/>
          <w:color w:val="auto"/>
          <w:kern w:val="0"/>
          <w:sz w:val="72"/>
          <w:szCs w:val="72"/>
          <w:highlight w:val="none"/>
        </w:rPr>
      </w:pPr>
      <w:r>
        <w:rPr>
          <w:rFonts w:hint="eastAsia" w:ascii="方正小标宋_GBK" w:hAnsi="方正小标宋_GBK" w:eastAsia="方正小标宋_GBK" w:cs="方正小标宋_GBK"/>
          <w:color w:val="auto"/>
          <w:kern w:val="0"/>
          <w:sz w:val="72"/>
          <w:szCs w:val="72"/>
          <w:highlight w:val="none"/>
          <w:lang w:val="en-US" w:eastAsia="zh-CN"/>
        </w:rPr>
        <w:t>竞</w:t>
      </w:r>
      <w:r>
        <w:rPr>
          <w:rFonts w:hint="eastAsia" w:ascii="方正小标宋_GBK" w:hAnsi="方正小标宋_GBK" w:eastAsia="方正小标宋_GBK" w:cs="方正小标宋_GBK"/>
          <w:color w:val="auto"/>
          <w:kern w:val="0"/>
          <w:sz w:val="72"/>
          <w:szCs w:val="72"/>
          <w:highlight w:val="none"/>
        </w:rPr>
        <w:t xml:space="preserve"> </w:t>
      </w:r>
      <w:r>
        <w:rPr>
          <w:rFonts w:hint="eastAsia" w:ascii="方正小标宋_GBK" w:hAnsi="方正小标宋_GBK" w:eastAsia="方正小标宋_GBK" w:cs="方正小标宋_GBK"/>
          <w:color w:val="auto"/>
          <w:kern w:val="0"/>
          <w:sz w:val="72"/>
          <w:szCs w:val="72"/>
          <w:highlight w:val="none"/>
          <w:lang w:val="en-US" w:eastAsia="zh-CN"/>
        </w:rPr>
        <w:t>选</w:t>
      </w:r>
      <w:r>
        <w:rPr>
          <w:rFonts w:hint="eastAsia" w:ascii="方正小标宋_GBK" w:hAnsi="方正小标宋_GBK" w:eastAsia="方正小标宋_GBK" w:cs="方正小标宋_GBK"/>
          <w:color w:val="auto"/>
          <w:kern w:val="0"/>
          <w:sz w:val="72"/>
          <w:szCs w:val="72"/>
          <w:highlight w:val="none"/>
        </w:rPr>
        <w:t xml:space="preserve"> 文 件</w:t>
      </w:r>
    </w:p>
    <w:p w14:paraId="5556CE1B">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10"/>
          <w:szCs w:val="10"/>
          <w:highlight w:val="none"/>
        </w:rPr>
      </w:pPr>
    </w:p>
    <w:p w14:paraId="66C12E27">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148C4A29">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2B542D02">
      <w:pPr>
        <w:autoSpaceDE w:val="0"/>
        <w:autoSpaceDN w:val="0"/>
        <w:adjustRightInd w:val="0"/>
        <w:snapToGrid w:val="0"/>
        <w:spacing w:line="360" w:lineRule="auto"/>
        <w:rPr>
          <w:rFonts w:hint="eastAsia" w:ascii="方正小标宋_GBK" w:hAnsi="方正小标宋_GBK" w:eastAsia="方正小标宋_GBK" w:cs="方正小标宋_GBK"/>
          <w:color w:val="auto"/>
          <w:kern w:val="0"/>
          <w:sz w:val="20"/>
          <w:szCs w:val="20"/>
          <w:highlight w:val="none"/>
        </w:rPr>
      </w:pPr>
    </w:p>
    <w:p w14:paraId="38930B00">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6E710767">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7350A0E7">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4815EE23">
      <w:pPr>
        <w:autoSpaceDE w:val="0"/>
        <w:autoSpaceDN w:val="0"/>
        <w:adjustRightInd w:val="0"/>
        <w:snapToGrid w:val="0"/>
        <w:spacing w:line="360" w:lineRule="auto"/>
        <w:jc w:val="left"/>
        <w:rPr>
          <w:rFonts w:hint="eastAsia" w:ascii="方正小标宋_GBK" w:hAnsi="方正小标宋_GBK" w:eastAsia="方正小标宋_GBK" w:cs="方正小标宋_GBK"/>
          <w:color w:val="auto"/>
          <w:kern w:val="0"/>
          <w:sz w:val="20"/>
          <w:szCs w:val="20"/>
          <w:highlight w:val="none"/>
        </w:rPr>
      </w:pPr>
    </w:p>
    <w:p w14:paraId="65BC2B6E">
      <w:pPr>
        <w:autoSpaceDE w:val="0"/>
        <w:autoSpaceDN w:val="0"/>
        <w:adjustRightInd w:val="0"/>
        <w:snapToGrid w:val="0"/>
        <w:spacing w:line="360" w:lineRule="auto"/>
        <w:rPr>
          <w:rFonts w:hint="eastAsia" w:ascii="方正小标宋_GBK" w:hAnsi="方正小标宋_GBK" w:eastAsia="方正小标宋_GBK" w:cs="方正小标宋_GBK"/>
          <w:color w:val="auto"/>
          <w:kern w:val="0"/>
          <w:sz w:val="20"/>
          <w:szCs w:val="20"/>
          <w:highlight w:val="none"/>
        </w:rPr>
      </w:pPr>
    </w:p>
    <w:p w14:paraId="26F07CA4">
      <w:pPr>
        <w:autoSpaceDE w:val="0"/>
        <w:autoSpaceDN w:val="0"/>
        <w:adjustRightInd w:val="0"/>
        <w:snapToGrid w:val="0"/>
        <w:spacing w:line="360" w:lineRule="auto"/>
        <w:rPr>
          <w:rFonts w:hint="eastAsia" w:ascii="方正小标宋_GBK" w:hAnsi="方正小标宋_GBK" w:eastAsia="方正小标宋_GBK" w:cs="方正小标宋_GBK"/>
          <w:color w:val="auto"/>
          <w:kern w:val="0"/>
          <w:sz w:val="20"/>
          <w:szCs w:val="20"/>
          <w:highlight w:val="none"/>
        </w:rPr>
      </w:pPr>
    </w:p>
    <w:p w14:paraId="7966AF43">
      <w:pPr>
        <w:autoSpaceDE w:val="0"/>
        <w:autoSpaceDN w:val="0"/>
        <w:adjustRightInd w:val="0"/>
        <w:snapToGrid w:val="0"/>
        <w:spacing w:line="360" w:lineRule="auto"/>
        <w:rPr>
          <w:rFonts w:hint="eastAsia" w:ascii="方正小标宋_GBK" w:hAnsi="方正小标宋_GBK" w:eastAsia="方正小标宋_GBK" w:cs="方正小标宋_GBK"/>
          <w:color w:val="auto"/>
          <w:kern w:val="0"/>
          <w:sz w:val="20"/>
          <w:szCs w:val="20"/>
          <w:highlight w:val="none"/>
        </w:rPr>
      </w:pPr>
    </w:p>
    <w:p w14:paraId="18A18A7A">
      <w:pPr>
        <w:tabs>
          <w:tab w:val="left" w:pos="6219"/>
        </w:tabs>
        <w:autoSpaceDE w:val="0"/>
        <w:autoSpaceDN w:val="0"/>
        <w:adjustRightInd w:val="0"/>
        <w:snapToGrid w:val="0"/>
        <w:spacing w:line="360" w:lineRule="auto"/>
        <w:jc w:val="center"/>
        <w:rPr>
          <w:rFonts w:hint="eastAsia" w:ascii="方正小标宋_GBK" w:hAnsi="方正小标宋_GBK" w:eastAsia="方正小标宋_GBK" w:cs="方正小标宋_GBK"/>
          <w:bCs/>
          <w:color w:val="auto"/>
          <w:w w:val="99"/>
          <w:kern w:val="0"/>
          <w:sz w:val="28"/>
          <w:szCs w:val="28"/>
          <w:highlight w:val="none"/>
        </w:rPr>
      </w:pPr>
      <w:r>
        <w:rPr>
          <w:rFonts w:hint="eastAsia" w:ascii="方正小标宋_GBK" w:hAnsi="方正小标宋_GBK" w:eastAsia="方正小标宋_GBK" w:cs="方正小标宋_GBK"/>
          <w:bCs/>
          <w:color w:val="auto"/>
          <w:w w:val="99"/>
          <w:kern w:val="0"/>
          <w:sz w:val="28"/>
          <w:szCs w:val="28"/>
          <w:highlight w:val="none"/>
          <w:lang w:val="en-US" w:eastAsia="zh-CN"/>
        </w:rPr>
        <w:t>竞选人</w:t>
      </w:r>
      <w:r>
        <w:rPr>
          <w:rFonts w:hint="eastAsia" w:ascii="方正小标宋_GBK" w:hAnsi="方正小标宋_GBK" w:eastAsia="方正小标宋_GBK" w:cs="方正小标宋_GBK"/>
          <w:bCs/>
          <w:color w:val="auto"/>
          <w:w w:val="99"/>
          <w:kern w:val="0"/>
          <w:sz w:val="28"/>
          <w:szCs w:val="28"/>
          <w:highlight w:val="none"/>
          <w:lang w:eastAsia="zh-CN"/>
        </w:rPr>
        <w:t>：</w:t>
      </w:r>
      <w:r>
        <w:rPr>
          <w:rFonts w:hint="eastAsia" w:ascii="方正小标宋_GBK" w:hAnsi="方正小标宋_GBK" w:eastAsia="方正小标宋_GBK" w:cs="方正小标宋_GBK"/>
          <w:bCs/>
          <w:color w:val="auto"/>
          <w:w w:val="99"/>
          <w:kern w:val="0"/>
          <w:sz w:val="28"/>
          <w:szCs w:val="28"/>
          <w:highlight w:val="none"/>
          <w:u w:val="single"/>
          <w:lang w:val="en-US" w:eastAsia="zh-CN"/>
        </w:rPr>
        <w:t xml:space="preserve">                          </w:t>
      </w:r>
      <w:r>
        <w:rPr>
          <w:rFonts w:hint="eastAsia" w:ascii="方正小标宋_GBK" w:hAnsi="方正小标宋_GBK" w:eastAsia="方正小标宋_GBK" w:cs="方正小标宋_GBK"/>
          <w:bCs/>
          <w:color w:val="auto"/>
          <w:kern w:val="0"/>
          <w:sz w:val="28"/>
          <w:szCs w:val="28"/>
          <w:highlight w:val="none"/>
          <w:u w:val="single"/>
        </w:rPr>
        <w:t xml:space="preserve">   </w:t>
      </w:r>
      <w:r>
        <w:rPr>
          <w:rFonts w:hint="eastAsia" w:ascii="方正小标宋_GBK" w:hAnsi="方正小标宋_GBK" w:eastAsia="方正小标宋_GBK" w:cs="方正小标宋_GBK"/>
          <w:bCs/>
          <w:color w:val="auto"/>
          <w:w w:val="99"/>
          <w:kern w:val="0"/>
          <w:sz w:val="28"/>
          <w:szCs w:val="28"/>
          <w:highlight w:val="none"/>
        </w:rPr>
        <w:t>（盖单位</w:t>
      </w:r>
      <w:r>
        <w:rPr>
          <w:rFonts w:hint="eastAsia" w:ascii="方正小标宋_GBK" w:hAnsi="方正小标宋_GBK" w:eastAsia="方正小标宋_GBK" w:cs="方正小标宋_GBK"/>
          <w:bCs/>
          <w:color w:val="auto"/>
          <w:w w:val="99"/>
          <w:kern w:val="0"/>
          <w:sz w:val="28"/>
          <w:szCs w:val="28"/>
          <w:highlight w:val="none"/>
          <w:lang w:eastAsia="zh-CN"/>
        </w:rPr>
        <w:t>公</w:t>
      </w:r>
      <w:r>
        <w:rPr>
          <w:rFonts w:hint="eastAsia" w:ascii="方正小标宋_GBK" w:hAnsi="方正小标宋_GBK" w:eastAsia="方正小标宋_GBK" w:cs="方正小标宋_GBK"/>
          <w:bCs/>
          <w:color w:val="auto"/>
          <w:w w:val="99"/>
          <w:kern w:val="0"/>
          <w:sz w:val="28"/>
          <w:szCs w:val="28"/>
          <w:highlight w:val="none"/>
        </w:rPr>
        <w:t>章）</w:t>
      </w:r>
    </w:p>
    <w:p w14:paraId="1279E629">
      <w:pPr>
        <w:tabs>
          <w:tab w:val="left" w:pos="6252"/>
        </w:tabs>
        <w:autoSpaceDE w:val="0"/>
        <w:autoSpaceDN w:val="0"/>
        <w:adjustRightInd w:val="0"/>
        <w:snapToGrid w:val="0"/>
        <w:spacing w:line="360" w:lineRule="auto"/>
        <w:jc w:val="center"/>
        <w:rPr>
          <w:rFonts w:hint="eastAsia" w:ascii="方正小标宋_GBK" w:hAnsi="方正小标宋_GBK" w:eastAsia="方正小标宋_GBK" w:cs="方正小标宋_GBK"/>
          <w:bCs/>
          <w:color w:val="auto"/>
          <w:w w:val="99"/>
          <w:kern w:val="0"/>
          <w:sz w:val="28"/>
          <w:szCs w:val="28"/>
          <w:highlight w:val="none"/>
        </w:rPr>
      </w:pPr>
      <w:r>
        <w:rPr>
          <w:rFonts w:hint="eastAsia" w:ascii="方正小标宋_GBK" w:hAnsi="方正小标宋_GBK" w:eastAsia="方正小标宋_GBK" w:cs="方正小标宋_GBK"/>
          <w:bCs/>
          <w:color w:val="auto"/>
          <w:spacing w:val="8"/>
          <w:kern w:val="0"/>
          <w:sz w:val="28"/>
          <w:szCs w:val="28"/>
          <w:highlight w:val="none"/>
          <w:lang w:val="en-US" w:eastAsia="zh-CN"/>
        </w:rPr>
        <w:t>法定代表人（单位负责人）或其委托代理人</w:t>
      </w:r>
      <w:r>
        <w:rPr>
          <w:rFonts w:hint="eastAsia" w:ascii="方正小标宋_GBK" w:hAnsi="方正小标宋_GBK" w:eastAsia="方正小标宋_GBK" w:cs="方正小标宋_GBK"/>
          <w:bCs/>
          <w:color w:val="auto"/>
          <w:spacing w:val="8"/>
          <w:kern w:val="0"/>
          <w:sz w:val="28"/>
          <w:szCs w:val="28"/>
          <w:highlight w:val="none"/>
        </w:rPr>
        <w:t>：</w:t>
      </w:r>
      <w:r>
        <w:rPr>
          <w:rFonts w:hint="eastAsia" w:ascii="方正小标宋_GBK" w:hAnsi="方正小标宋_GBK" w:eastAsia="方正小标宋_GBK" w:cs="方正小标宋_GBK"/>
          <w:bCs/>
          <w:color w:val="auto"/>
          <w:kern w:val="0"/>
          <w:sz w:val="28"/>
          <w:szCs w:val="28"/>
          <w:highlight w:val="none"/>
          <w:u w:val="single"/>
        </w:rPr>
        <w:tab/>
      </w:r>
      <w:r>
        <w:rPr>
          <w:rFonts w:hint="eastAsia" w:ascii="方正小标宋_GBK" w:hAnsi="方正小标宋_GBK" w:eastAsia="方正小标宋_GBK" w:cs="方正小标宋_GBK"/>
          <w:bCs/>
          <w:color w:val="auto"/>
          <w:kern w:val="0"/>
          <w:sz w:val="28"/>
          <w:szCs w:val="28"/>
          <w:highlight w:val="none"/>
          <w:u w:val="single"/>
          <w:lang w:val="en-US" w:eastAsia="zh-CN"/>
        </w:rPr>
        <w:t xml:space="preserve">  </w:t>
      </w:r>
      <w:r>
        <w:rPr>
          <w:rFonts w:hint="eastAsia" w:ascii="方正小标宋_GBK" w:hAnsi="方正小标宋_GBK" w:eastAsia="方正小标宋_GBK" w:cs="方正小标宋_GBK"/>
          <w:bCs/>
          <w:color w:val="auto"/>
          <w:kern w:val="0"/>
          <w:sz w:val="28"/>
          <w:szCs w:val="28"/>
          <w:highlight w:val="none"/>
          <w:u w:val="single"/>
        </w:rPr>
        <w:t xml:space="preserve">   </w:t>
      </w:r>
      <w:r>
        <w:rPr>
          <w:rFonts w:hint="eastAsia" w:ascii="方正小标宋_GBK" w:hAnsi="方正小标宋_GBK" w:eastAsia="方正小标宋_GBK" w:cs="方正小标宋_GBK"/>
          <w:bCs/>
          <w:color w:val="auto"/>
          <w:w w:val="99"/>
          <w:kern w:val="0"/>
          <w:sz w:val="28"/>
          <w:szCs w:val="28"/>
          <w:highlight w:val="none"/>
        </w:rPr>
        <w:t>（</w:t>
      </w:r>
      <w:r>
        <w:rPr>
          <w:rFonts w:hint="eastAsia" w:ascii="方正小标宋_GBK" w:hAnsi="方正小标宋_GBK" w:eastAsia="方正小标宋_GBK" w:cs="方正小标宋_GBK"/>
          <w:bCs/>
          <w:color w:val="auto"/>
          <w:w w:val="99"/>
          <w:kern w:val="0"/>
          <w:sz w:val="28"/>
          <w:szCs w:val="28"/>
          <w:highlight w:val="none"/>
          <w:lang w:val="en-US" w:eastAsia="zh-CN"/>
        </w:rPr>
        <w:t>签字</w:t>
      </w:r>
      <w:r>
        <w:rPr>
          <w:rFonts w:hint="eastAsia" w:ascii="方正小标宋_GBK" w:hAnsi="方正小标宋_GBK" w:eastAsia="方正小标宋_GBK" w:cs="方正小标宋_GBK"/>
          <w:bCs/>
          <w:color w:val="auto"/>
          <w:w w:val="99"/>
          <w:kern w:val="0"/>
          <w:sz w:val="28"/>
          <w:szCs w:val="28"/>
          <w:highlight w:val="none"/>
        </w:rPr>
        <w:t>）</w:t>
      </w:r>
    </w:p>
    <w:p w14:paraId="666EB77F">
      <w:pPr>
        <w:jc w:val="center"/>
        <w:rPr>
          <w:rFonts w:hint="eastAsia" w:ascii="方正小标宋_GBK" w:hAnsi="方正小标宋_GBK" w:eastAsia="方正小标宋_GBK" w:cs="方正小标宋_GBK"/>
          <w:color w:val="auto"/>
          <w:sz w:val="28"/>
          <w:highlight w:val="none"/>
        </w:rPr>
      </w:pPr>
      <w:r>
        <w:rPr>
          <w:rFonts w:hint="eastAsia" w:ascii="方正小标宋_GBK" w:hAnsi="方正小标宋_GBK" w:eastAsia="方正小标宋_GBK" w:cs="方正小标宋_GBK"/>
          <w:bCs/>
          <w:color w:val="auto"/>
          <w:spacing w:val="8"/>
          <w:kern w:val="0"/>
          <w:sz w:val="28"/>
          <w:szCs w:val="28"/>
          <w:highlight w:val="none"/>
          <w:u w:val="single"/>
        </w:rPr>
        <w:t xml:space="preserve">    </w:t>
      </w:r>
      <w:r>
        <w:rPr>
          <w:rFonts w:hint="eastAsia" w:ascii="方正小标宋_GBK" w:hAnsi="方正小标宋_GBK" w:eastAsia="方正小标宋_GBK" w:cs="方正小标宋_GBK"/>
          <w:bCs/>
          <w:color w:val="auto"/>
          <w:spacing w:val="8"/>
          <w:kern w:val="0"/>
          <w:sz w:val="28"/>
          <w:szCs w:val="28"/>
          <w:highlight w:val="none"/>
        </w:rPr>
        <w:t>年</w:t>
      </w:r>
      <w:r>
        <w:rPr>
          <w:rFonts w:hint="eastAsia" w:ascii="方正小标宋_GBK" w:hAnsi="方正小标宋_GBK" w:eastAsia="方正小标宋_GBK" w:cs="方正小标宋_GBK"/>
          <w:bCs/>
          <w:color w:val="auto"/>
          <w:spacing w:val="8"/>
          <w:kern w:val="0"/>
          <w:sz w:val="28"/>
          <w:szCs w:val="28"/>
          <w:highlight w:val="none"/>
          <w:u w:val="single"/>
        </w:rPr>
        <w:t xml:space="preserve">    </w:t>
      </w:r>
      <w:r>
        <w:rPr>
          <w:rFonts w:hint="eastAsia" w:ascii="方正小标宋_GBK" w:hAnsi="方正小标宋_GBK" w:eastAsia="方正小标宋_GBK" w:cs="方正小标宋_GBK"/>
          <w:bCs/>
          <w:color w:val="auto"/>
          <w:spacing w:val="8"/>
          <w:kern w:val="0"/>
          <w:sz w:val="28"/>
          <w:szCs w:val="28"/>
          <w:highlight w:val="none"/>
        </w:rPr>
        <w:t>月</w:t>
      </w:r>
      <w:r>
        <w:rPr>
          <w:rFonts w:hint="eastAsia" w:ascii="方正小标宋_GBK" w:hAnsi="方正小标宋_GBK" w:eastAsia="方正小标宋_GBK" w:cs="方正小标宋_GBK"/>
          <w:bCs/>
          <w:color w:val="auto"/>
          <w:spacing w:val="8"/>
          <w:kern w:val="0"/>
          <w:sz w:val="28"/>
          <w:szCs w:val="28"/>
          <w:highlight w:val="none"/>
          <w:u w:val="single"/>
        </w:rPr>
        <w:t xml:space="preserve">    </w:t>
      </w:r>
      <w:r>
        <w:rPr>
          <w:rFonts w:hint="eastAsia" w:ascii="方正小标宋_GBK" w:hAnsi="方正小标宋_GBK" w:eastAsia="方正小标宋_GBK" w:cs="方正小标宋_GBK"/>
          <w:bCs/>
          <w:color w:val="auto"/>
          <w:spacing w:val="8"/>
          <w:kern w:val="0"/>
          <w:sz w:val="28"/>
          <w:szCs w:val="28"/>
          <w:highlight w:val="none"/>
        </w:rPr>
        <w:t>日</w:t>
      </w:r>
    </w:p>
    <w:p w14:paraId="4CFD232C">
      <w:pPr>
        <w:rPr>
          <w:rFonts w:asciiTheme="minorEastAsia" w:hAnsiTheme="minorEastAsia" w:eastAsiaTheme="minorEastAsia"/>
          <w:color w:val="auto"/>
          <w:highlight w:val="none"/>
        </w:rPr>
      </w:pPr>
    </w:p>
    <w:p w14:paraId="41CAB9A0">
      <w:pPr>
        <w:pStyle w:val="6"/>
        <w:rPr>
          <w:rFonts w:hint="eastAsia" w:ascii="宋体" w:hAnsi="宋体" w:eastAsia="宋体" w:cs="Times New Roman"/>
          <w:snapToGrid/>
          <w:color w:val="auto"/>
          <w:sz w:val="52"/>
          <w:szCs w:val="52"/>
          <w:highlight w:val="none"/>
          <w:lang w:val="en-US" w:eastAsia="zh-CN" w:bidi="ar-SA"/>
        </w:rPr>
      </w:pPr>
    </w:p>
    <w:p w14:paraId="4477FD3D">
      <w:pPr>
        <w:rPr>
          <w:rFonts w:hint="eastAsia"/>
          <w:color w:val="auto"/>
          <w:lang w:val="en-US" w:eastAsia="zh-CN"/>
        </w:rPr>
      </w:pPr>
    </w:p>
    <w:p w14:paraId="7BB302C0">
      <w:pPr>
        <w:rPr>
          <w:rFonts w:hint="eastAsia"/>
          <w:color w:val="auto"/>
          <w:lang w:val="en-US" w:eastAsia="zh-CN"/>
        </w:rPr>
      </w:pPr>
    </w:p>
    <w:p w14:paraId="2235595F">
      <w:pPr>
        <w:spacing w:line="460" w:lineRule="exact"/>
        <w:jc w:val="center"/>
        <w:rPr>
          <w:rFonts w:hint="eastAsia" w:ascii="方正仿宋_GB18030" w:hAnsi="方正仿宋_GB18030" w:eastAsia="方正仿宋_GB18030" w:cs="方正仿宋_GB18030"/>
          <w:b/>
          <w:sz w:val="32"/>
          <w:szCs w:val="32"/>
        </w:rPr>
      </w:pPr>
      <w:r>
        <w:rPr>
          <w:rFonts w:hint="eastAsia" w:ascii="方正仿宋_GB18030" w:hAnsi="方正仿宋_GB18030" w:eastAsia="方正仿宋_GB18030" w:cs="方正仿宋_GB18030"/>
          <w:b/>
          <w:sz w:val="32"/>
          <w:szCs w:val="32"/>
        </w:rPr>
        <w:t>目  录</w:t>
      </w:r>
    </w:p>
    <w:p w14:paraId="5D8204F4">
      <w:pPr>
        <w:spacing w:line="460" w:lineRule="exact"/>
        <w:jc w:val="center"/>
        <w:rPr>
          <w:rFonts w:hint="eastAsia" w:ascii="方正仿宋_GB18030" w:hAnsi="方正仿宋_GB18030" w:eastAsia="方正仿宋_GB18030" w:cs="方正仿宋_GB18030"/>
          <w:b/>
          <w:spacing w:val="20"/>
          <w:sz w:val="32"/>
          <w:szCs w:val="32"/>
        </w:rPr>
      </w:pPr>
    </w:p>
    <w:p w14:paraId="5E2501AE">
      <w:pPr>
        <w:spacing w:line="400" w:lineRule="exact"/>
        <w:ind w:left="105" w:right="105" w:firstLine="560" w:firstLineChars="200"/>
        <w:rPr>
          <w:rFonts w:ascii="方正仿宋_GBK" w:hAnsi="方正仿宋_GBK" w:eastAsia="方正仿宋_GBK" w:cstheme="minorEastAsia"/>
          <w:sz w:val="28"/>
          <w:szCs w:val="32"/>
          <w:highlight w:val="none"/>
        </w:rPr>
      </w:pPr>
      <w:r>
        <w:rPr>
          <w:rFonts w:hint="eastAsia" w:ascii="方正仿宋_GBK" w:hAnsi="方正仿宋_GBK" w:eastAsia="方正仿宋_GBK" w:cstheme="minorEastAsia"/>
          <w:sz w:val="28"/>
          <w:szCs w:val="32"/>
          <w:highlight w:val="none"/>
        </w:rPr>
        <w:t>一、竞选函部分</w:t>
      </w:r>
    </w:p>
    <w:p w14:paraId="73800670">
      <w:pPr>
        <w:spacing w:line="400" w:lineRule="exact"/>
        <w:ind w:left="105" w:right="105" w:firstLine="560" w:firstLineChars="200"/>
        <w:rPr>
          <w:rFonts w:ascii="方正仿宋_GBK" w:hAnsi="方正仿宋_GBK" w:eastAsia="方正仿宋_GBK" w:cstheme="minorEastAsia"/>
          <w:sz w:val="28"/>
          <w:szCs w:val="32"/>
          <w:highlight w:val="none"/>
        </w:rPr>
      </w:pPr>
      <w:r>
        <w:rPr>
          <w:rFonts w:hint="eastAsia" w:ascii="方正仿宋_GBK" w:hAnsi="方正仿宋_GBK" w:eastAsia="方正仿宋_GBK" w:cstheme="minorEastAsia"/>
          <w:sz w:val="28"/>
          <w:szCs w:val="32"/>
          <w:highlight w:val="none"/>
        </w:rPr>
        <w:t>二、商务部分</w:t>
      </w:r>
    </w:p>
    <w:p w14:paraId="3D14DDB8">
      <w:pPr>
        <w:spacing w:line="400" w:lineRule="exact"/>
        <w:ind w:left="105" w:right="105" w:firstLine="560" w:firstLineChars="200"/>
        <w:rPr>
          <w:rFonts w:ascii="方正仿宋_GBK" w:hAnsi="方正仿宋_GBK" w:eastAsia="方正仿宋_GBK" w:cstheme="minorEastAsia"/>
          <w:sz w:val="28"/>
          <w:szCs w:val="32"/>
          <w:highlight w:val="none"/>
        </w:rPr>
      </w:pPr>
      <w:r>
        <w:rPr>
          <w:rFonts w:hint="eastAsia" w:ascii="方正仿宋_GBK" w:hAnsi="方正仿宋_GBK" w:eastAsia="方正仿宋_GBK" w:cstheme="minorEastAsia"/>
          <w:sz w:val="28"/>
          <w:szCs w:val="32"/>
          <w:highlight w:val="none"/>
        </w:rPr>
        <w:t>三、技术部分</w:t>
      </w:r>
    </w:p>
    <w:p w14:paraId="7D409CE3">
      <w:pPr>
        <w:spacing w:line="400" w:lineRule="exact"/>
        <w:ind w:left="105" w:right="105" w:firstLine="560" w:firstLineChars="200"/>
        <w:rPr>
          <w:rFonts w:ascii="方正仿宋_GBK" w:hAnsi="方正仿宋_GBK" w:eastAsia="方正仿宋_GBK" w:cstheme="minorEastAsia"/>
          <w:sz w:val="28"/>
          <w:szCs w:val="32"/>
          <w:highlight w:val="none"/>
        </w:rPr>
      </w:pPr>
      <w:r>
        <w:rPr>
          <w:rFonts w:hint="eastAsia" w:ascii="方正仿宋_GBK" w:hAnsi="方正仿宋_GBK" w:eastAsia="方正仿宋_GBK" w:cstheme="minorEastAsia"/>
          <w:sz w:val="28"/>
          <w:szCs w:val="32"/>
          <w:highlight w:val="none"/>
        </w:rPr>
        <w:t>四、资格审查部分</w:t>
      </w:r>
    </w:p>
    <w:p w14:paraId="7FB41DC3">
      <w:pPr>
        <w:spacing w:line="460" w:lineRule="exact"/>
        <w:ind w:firstLine="849" w:firstLineChars="354"/>
        <w:rPr>
          <w:rFonts w:hint="eastAsia" w:ascii="方正仿宋_GB18030" w:hAnsi="方正仿宋_GB18030" w:eastAsia="方正仿宋_GB18030" w:cs="方正仿宋_GB18030"/>
          <w:sz w:val="24"/>
          <w:szCs w:val="28"/>
        </w:rPr>
      </w:pPr>
    </w:p>
    <w:p w14:paraId="7D975339">
      <w:pPr>
        <w:rPr>
          <w:color w:val="auto"/>
        </w:rPr>
      </w:pPr>
    </w:p>
    <w:p w14:paraId="5357CEBB">
      <w:pPr>
        <w:pStyle w:val="6"/>
        <w:rPr>
          <w:rFonts w:hint="eastAsia"/>
          <w:color w:val="auto"/>
          <w:lang w:val="en-US" w:eastAsia="zh-CN"/>
        </w:rPr>
      </w:pPr>
    </w:p>
    <w:p w14:paraId="49E3AF5E">
      <w:pPr>
        <w:rPr>
          <w:color w:val="auto"/>
        </w:rPr>
      </w:pPr>
    </w:p>
    <w:p w14:paraId="290BC918">
      <w:pPr>
        <w:pStyle w:val="6"/>
        <w:rPr>
          <w:color w:val="auto"/>
        </w:rPr>
      </w:pPr>
    </w:p>
    <w:p w14:paraId="6534A8CE">
      <w:pPr>
        <w:rPr>
          <w:color w:val="auto"/>
        </w:rPr>
      </w:pPr>
    </w:p>
    <w:p w14:paraId="486BA87D">
      <w:pPr>
        <w:pStyle w:val="6"/>
        <w:rPr>
          <w:color w:val="auto"/>
        </w:rPr>
      </w:pPr>
    </w:p>
    <w:p w14:paraId="2CBA6CF8">
      <w:pPr>
        <w:rPr>
          <w:color w:val="auto"/>
        </w:rPr>
      </w:pPr>
    </w:p>
    <w:p w14:paraId="464E5DC2">
      <w:pPr>
        <w:pStyle w:val="6"/>
        <w:rPr>
          <w:color w:val="auto"/>
        </w:rPr>
      </w:pPr>
    </w:p>
    <w:p w14:paraId="0FAD3B58">
      <w:pPr>
        <w:rPr>
          <w:color w:val="auto"/>
        </w:rPr>
      </w:pPr>
    </w:p>
    <w:p w14:paraId="4076BF49">
      <w:pPr>
        <w:pStyle w:val="6"/>
        <w:rPr>
          <w:color w:val="auto"/>
        </w:rPr>
      </w:pPr>
    </w:p>
    <w:p w14:paraId="3F8CFEF7">
      <w:pPr>
        <w:rPr>
          <w:color w:val="auto"/>
        </w:rPr>
      </w:pPr>
    </w:p>
    <w:p w14:paraId="30718B92">
      <w:pPr>
        <w:pStyle w:val="6"/>
        <w:rPr>
          <w:color w:val="auto"/>
        </w:rPr>
      </w:pPr>
    </w:p>
    <w:p w14:paraId="11BBBC29">
      <w:pPr>
        <w:rPr>
          <w:color w:val="auto"/>
        </w:rPr>
      </w:pPr>
    </w:p>
    <w:p w14:paraId="18445A88">
      <w:pPr>
        <w:pStyle w:val="6"/>
        <w:rPr>
          <w:color w:val="auto"/>
        </w:rPr>
      </w:pPr>
    </w:p>
    <w:p w14:paraId="0F0690F3">
      <w:pPr>
        <w:rPr>
          <w:color w:val="auto"/>
        </w:rPr>
      </w:pPr>
    </w:p>
    <w:p w14:paraId="3E630EA7">
      <w:pPr>
        <w:pStyle w:val="6"/>
        <w:rPr>
          <w:color w:val="auto"/>
        </w:rPr>
      </w:pPr>
    </w:p>
    <w:p w14:paraId="3579AE69">
      <w:pPr>
        <w:rPr>
          <w:color w:val="auto"/>
        </w:rPr>
      </w:pPr>
    </w:p>
    <w:p w14:paraId="7FFFBDCC">
      <w:pPr>
        <w:pStyle w:val="6"/>
        <w:rPr>
          <w:color w:val="auto"/>
        </w:rPr>
      </w:pPr>
    </w:p>
    <w:p w14:paraId="25561813">
      <w:pPr>
        <w:rPr>
          <w:color w:val="auto"/>
        </w:rPr>
      </w:pPr>
    </w:p>
    <w:p w14:paraId="0368E1A8">
      <w:pPr>
        <w:pStyle w:val="6"/>
        <w:rPr>
          <w:color w:val="auto"/>
        </w:rPr>
      </w:pPr>
    </w:p>
    <w:p w14:paraId="3EF48C1A">
      <w:pPr>
        <w:rPr>
          <w:color w:val="auto"/>
        </w:rPr>
      </w:pPr>
    </w:p>
    <w:p w14:paraId="0BCE6925">
      <w:pPr>
        <w:pStyle w:val="6"/>
        <w:rPr>
          <w:color w:val="auto"/>
        </w:rPr>
      </w:pPr>
    </w:p>
    <w:p w14:paraId="7B9A9EA2">
      <w:pPr>
        <w:rPr>
          <w:color w:val="auto"/>
        </w:rPr>
      </w:pPr>
    </w:p>
    <w:p w14:paraId="0CC224FB">
      <w:pPr>
        <w:pStyle w:val="6"/>
        <w:rPr>
          <w:color w:val="auto"/>
        </w:rPr>
      </w:pPr>
    </w:p>
    <w:p w14:paraId="671F49A9">
      <w:pPr>
        <w:rPr>
          <w:color w:val="auto"/>
        </w:rPr>
      </w:pPr>
    </w:p>
    <w:p w14:paraId="507F0293">
      <w:pPr>
        <w:pStyle w:val="6"/>
        <w:rPr>
          <w:color w:val="auto"/>
        </w:rPr>
      </w:pPr>
    </w:p>
    <w:p w14:paraId="6C158696">
      <w:pPr>
        <w:rPr>
          <w:color w:val="auto"/>
        </w:rPr>
      </w:pPr>
    </w:p>
    <w:p w14:paraId="126A2608">
      <w:pPr>
        <w:pStyle w:val="6"/>
        <w:rPr>
          <w:color w:val="auto"/>
        </w:rPr>
      </w:pPr>
    </w:p>
    <w:p w14:paraId="5DDAAADB">
      <w:pPr>
        <w:rPr>
          <w:color w:val="auto"/>
        </w:rPr>
      </w:pPr>
    </w:p>
    <w:p w14:paraId="09097140">
      <w:pPr>
        <w:pStyle w:val="6"/>
        <w:rPr>
          <w:color w:val="auto"/>
        </w:rPr>
      </w:pPr>
    </w:p>
    <w:p w14:paraId="016CB32E">
      <w:pPr>
        <w:rPr>
          <w:color w:val="auto"/>
        </w:rPr>
      </w:pPr>
    </w:p>
    <w:p w14:paraId="47A9E5A2">
      <w:pPr>
        <w:pStyle w:val="6"/>
        <w:rPr>
          <w:color w:val="auto"/>
        </w:rPr>
      </w:pPr>
    </w:p>
    <w:p w14:paraId="54BB2509">
      <w:pPr>
        <w:rPr>
          <w:color w:val="auto"/>
        </w:rPr>
      </w:pPr>
    </w:p>
    <w:p w14:paraId="45EE9C93">
      <w:pPr>
        <w:pStyle w:val="6"/>
        <w:rPr>
          <w:color w:val="auto"/>
        </w:rPr>
      </w:pPr>
    </w:p>
    <w:p w14:paraId="6E8BBA51">
      <w:pPr>
        <w:rPr>
          <w:color w:val="auto"/>
        </w:rPr>
      </w:pPr>
    </w:p>
    <w:p w14:paraId="41DCD4BF">
      <w:pPr>
        <w:pStyle w:val="6"/>
        <w:rPr>
          <w:color w:val="auto"/>
        </w:rPr>
      </w:pPr>
    </w:p>
    <w:p w14:paraId="3BF13BA1">
      <w:pPr>
        <w:rPr>
          <w:color w:val="auto"/>
        </w:rPr>
      </w:pPr>
    </w:p>
    <w:p w14:paraId="3CF55D73">
      <w:pPr>
        <w:pStyle w:val="6"/>
        <w:rPr>
          <w:color w:val="auto"/>
        </w:rPr>
      </w:pPr>
    </w:p>
    <w:p w14:paraId="6D7EB5A5">
      <w:pPr>
        <w:pStyle w:val="6"/>
        <w:rPr>
          <w:color w:val="auto"/>
        </w:rPr>
      </w:pPr>
    </w:p>
    <w:p w14:paraId="1FFAB957">
      <w:pPr>
        <w:pStyle w:val="3"/>
        <w:widowControl w:val="0"/>
        <w:numPr>
          <w:ilvl w:val="0"/>
          <w:numId w:val="2"/>
        </w:numPr>
        <w:kinsoku/>
        <w:autoSpaceDE/>
        <w:autoSpaceDN/>
        <w:adjustRightInd/>
        <w:snapToGrid/>
        <w:spacing w:before="0" w:after="0" w:line="360" w:lineRule="auto"/>
        <w:jc w:val="center"/>
        <w:textAlignment w:val="auto"/>
        <w:rPr>
          <w:rFonts w:hint="eastAsia" w:ascii="方正仿宋_GB18030" w:hAnsi="方正仿宋_GB18030" w:eastAsia="方正仿宋_GB18030" w:cs="方正仿宋_GB18030"/>
          <w:b w:val="0"/>
          <w:snapToGrid/>
          <w:color w:val="auto"/>
          <w:kern w:val="2"/>
          <w:sz w:val="44"/>
          <w:szCs w:val="44"/>
          <w:highlight w:val="none"/>
          <w:lang w:val="en-US" w:eastAsia="zh-CN" w:bidi="ar-SA"/>
        </w:rPr>
      </w:pPr>
      <w:bookmarkStart w:id="240" w:name="_Toc57820647"/>
      <w:bookmarkStart w:id="241" w:name="_Toc26311"/>
      <w:bookmarkStart w:id="242" w:name="_Toc16324"/>
      <w:r>
        <w:rPr>
          <w:rFonts w:hint="eastAsia" w:ascii="方正仿宋_GB18030" w:hAnsi="方正仿宋_GB18030" w:eastAsia="方正仿宋_GB18030" w:cs="方正仿宋_GB18030"/>
          <w:b w:val="0"/>
          <w:snapToGrid/>
          <w:color w:val="auto"/>
          <w:kern w:val="2"/>
          <w:sz w:val="44"/>
          <w:szCs w:val="44"/>
          <w:highlight w:val="none"/>
          <w:lang w:val="en-US" w:eastAsia="zh-CN" w:bidi="ar-SA"/>
        </w:rPr>
        <w:t>竞选函</w:t>
      </w:r>
      <w:bookmarkEnd w:id="240"/>
      <w:bookmarkEnd w:id="241"/>
      <w:bookmarkEnd w:id="242"/>
    </w:p>
    <w:p w14:paraId="2AC75A38">
      <w:pPr>
        <w:numPr>
          <w:ilvl w:val="0"/>
          <w:numId w:val="0"/>
        </w:numPr>
        <w:kinsoku w:val="0"/>
        <w:autoSpaceDE w:val="0"/>
        <w:autoSpaceDN w:val="0"/>
        <w:adjustRightInd w:val="0"/>
        <w:snapToGrid w:val="0"/>
        <w:spacing w:line="240" w:lineRule="auto"/>
        <w:jc w:val="left"/>
        <w:textAlignment w:val="baseline"/>
        <w:rPr>
          <w:rFonts w:hint="eastAsia"/>
          <w:color w:val="auto"/>
          <w:lang w:val="en-US" w:eastAsia="zh-CN"/>
        </w:rPr>
      </w:pPr>
    </w:p>
    <w:p w14:paraId="6A66D470">
      <w:pPr>
        <w:pStyle w:val="6"/>
        <w:rPr>
          <w:rFonts w:hint="eastAsia"/>
          <w:color w:val="auto"/>
          <w:lang w:val="en-US" w:eastAsia="zh-CN"/>
        </w:rPr>
      </w:pPr>
    </w:p>
    <w:p w14:paraId="2D0AC706">
      <w:pPr>
        <w:rPr>
          <w:rFonts w:hint="eastAsia"/>
          <w:color w:val="auto"/>
          <w:lang w:val="en-US" w:eastAsia="zh-CN"/>
        </w:rPr>
      </w:pPr>
    </w:p>
    <w:p w14:paraId="53BA0114">
      <w:pPr>
        <w:pStyle w:val="6"/>
        <w:rPr>
          <w:rFonts w:hint="eastAsia"/>
          <w:color w:val="auto"/>
          <w:lang w:val="en-US" w:eastAsia="zh-CN"/>
        </w:rPr>
      </w:pPr>
    </w:p>
    <w:p w14:paraId="705B11A1">
      <w:pPr>
        <w:rPr>
          <w:rFonts w:hint="eastAsia"/>
          <w:color w:val="auto"/>
          <w:lang w:val="en-US" w:eastAsia="zh-CN"/>
        </w:rPr>
      </w:pPr>
    </w:p>
    <w:p w14:paraId="314937A8">
      <w:pPr>
        <w:pStyle w:val="6"/>
        <w:rPr>
          <w:rFonts w:hint="eastAsia"/>
          <w:color w:val="auto"/>
          <w:lang w:val="en-US" w:eastAsia="zh-CN"/>
        </w:rPr>
      </w:pPr>
    </w:p>
    <w:p w14:paraId="68E99F63">
      <w:pPr>
        <w:rPr>
          <w:rFonts w:hint="eastAsia"/>
          <w:color w:val="auto"/>
          <w:lang w:val="en-US" w:eastAsia="zh-CN"/>
        </w:rPr>
      </w:pPr>
    </w:p>
    <w:p w14:paraId="2699FBF3">
      <w:pPr>
        <w:pStyle w:val="6"/>
        <w:rPr>
          <w:rFonts w:hint="eastAsia"/>
          <w:color w:val="auto"/>
          <w:lang w:val="en-US" w:eastAsia="zh-CN"/>
        </w:rPr>
      </w:pPr>
    </w:p>
    <w:p w14:paraId="30572AF2">
      <w:pPr>
        <w:rPr>
          <w:rFonts w:hint="eastAsia"/>
          <w:color w:val="auto"/>
          <w:lang w:val="en-US" w:eastAsia="zh-CN"/>
        </w:rPr>
      </w:pPr>
    </w:p>
    <w:p w14:paraId="3B9D996E">
      <w:pPr>
        <w:pStyle w:val="6"/>
        <w:rPr>
          <w:rFonts w:hint="eastAsia"/>
          <w:color w:val="auto"/>
          <w:lang w:val="en-US" w:eastAsia="zh-CN"/>
        </w:rPr>
      </w:pPr>
    </w:p>
    <w:p w14:paraId="1883D9FE">
      <w:pPr>
        <w:rPr>
          <w:rFonts w:hint="eastAsia"/>
          <w:color w:val="auto"/>
          <w:lang w:val="en-US" w:eastAsia="zh-CN"/>
        </w:rPr>
      </w:pPr>
    </w:p>
    <w:p w14:paraId="277C497D">
      <w:pPr>
        <w:pStyle w:val="6"/>
        <w:rPr>
          <w:rFonts w:hint="eastAsia"/>
          <w:color w:val="auto"/>
          <w:lang w:val="en-US" w:eastAsia="zh-CN"/>
        </w:rPr>
      </w:pPr>
    </w:p>
    <w:p w14:paraId="7A8DB963">
      <w:pPr>
        <w:rPr>
          <w:rFonts w:hint="eastAsia"/>
          <w:color w:val="auto"/>
          <w:lang w:val="en-US" w:eastAsia="zh-CN"/>
        </w:rPr>
      </w:pPr>
    </w:p>
    <w:p w14:paraId="752EEEC9">
      <w:pPr>
        <w:pStyle w:val="6"/>
        <w:rPr>
          <w:rFonts w:hint="eastAsia"/>
          <w:color w:val="auto"/>
          <w:lang w:val="en-US" w:eastAsia="zh-CN"/>
        </w:rPr>
      </w:pPr>
    </w:p>
    <w:p w14:paraId="6B758EF4">
      <w:pPr>
        <w:rPr>
          <w:rFonts w:hint="eastAsia"/>
          <w:color w:val="auto"/>
          <w:lang w:val="en-US" w:eastAsia="zh-CN"/>
        </w:rPr>
      </w:pPr>
    </w:p>
    <w:p w14:paraId="17E1AD85">
      <w:pPr>
        <w:pStyle w:val="6"/>
        <w:rPr>
          <w:rFonts w:hint="eastAsia"/>
          <w:color w:val="auto"/>
          <w:lang w:val="en-US" w:eastAsia="zh-CN"/>
        </w:rPr>
      </w:pPr>
    </w:p>
    <w:p w14:paraId="316E3435">
      <w:pPr>
        <w:rPr>
          <w:rFonts w:hint="eastAsia"/>
          <w:color w:val="auto"/>
          <w:lang w:val="en-US" w:eastAsia="zh-CN"/>
        </w:rPr>
      </w:pPr>
    </w:p>
    <w:p w14:paraId="3BF16730">
      <w:pPr>
        <w:pStyle w:val="6"/>
        <w:rPr>
          <w:rFonts w:hint="eastAsia"/>
          <w:color w:val="auto"/>
          <w:lang w:val="en-US" w:eastAsia="zh-CN"/>
        </w:rPr>
      </w:pPr>
    </w:p>
    <w:p w14:paraId="518AE505">
      <w:pPr>
        <w:rPr>
          <w:rFonts w:hint="eastAsia"/>
          <w:color w:val="auto"/>
          <w:lang w:val="en-US" w:eastAsia="zh-CN"/>
        </w:rPr>
      </w:pPr>
    </w:p>
    <w:p w14:paraId="169DB8B6">
      <w:pPr>
        <w:pStyle w:val="6"/>
        <w:rPr>
          <w:rFonts w:hint="eastAsia"/>
          <w:color w:val="auto"/>
          <w:lang w:val="en-US" w:eastAsia="zh-CN"/>
        </w:rPr>
      </w:pPr>
    </w:p>
    <w:p w14:paraId="725632DB">
      <w:pPr>
        <w:rPr>
          <w:rFonts w:hint="eastAsia"/>
          <w:color w:val="auto"/>
          <w:lang w:val="en-US" w:eastAsia="zh-CN"/>
        </w:rPr>
      </w:pPr>
    </w:p>
    <w:p w14:paraId="3FDC8ABA">
      <w:pPr>
        <w:pStyle w:val="6"/>
        <w:rPr>
          <w:rFonts w:hint="eastAsia"/>
          <w:color w:val="auto"/>
          <w:lang w:val="en-US" w:eastAsia="zh-CN"/>
        </w:rPr>
      </w:pPr>
    </w:p>
    <w:p w14:paraId="021C5D98">
      <w:pPr>
        <w:rPr>
          <w:rFonts w:hint="eastAsia"/>
          <w:color w:val="auto"/>
          <w:lang w:val="en-US" w:eastAsia="zh-CN"/>
        </w:rPr>
      </w:pPr>
    </w:p>
    <w:p w14:paraId="6B15993C">
      <w:pPr>
        <w:pStyle w:val="6"/>
        <w:rPr>
          <w:rFonts w:hint="eastAsia"/>
          <w:color w:val="auto"/>
          <w:lang w:val="en-US" w:eastAsia="zh-CN"/>
        </w:rPr>
      </w:pPr>
    </w:p>
    <w:p w14:paraId="11DA74EF">
      <w:pPr>
        <w:rPr>
          <w:rFonts w:hint="eastAsia"/>
          <w:color w:val="auto"/>
          <w:lang w:val="en-US" w:eastAsia="zh-CN"/>
        </w:rPr>
      </w:pPr>
    </w:p>
    <w:p w14:paraId="32362998">
      <w:pPr>
        <w:pStyle w:val="6"/>
        <w:rPr>
          <w:rFonts w:hint="eastAsia"/>
          <w:color w:val="auto"/>
          <w:lang w:val="en-US" w:eastAsia="zh-CN"/>
        </w:rPr>
      </w:pPr>
    </w:p>
    <w:p w14:paraId="27E7065B">
      <w:pPr>
        <w:rPr>
          <w:rFonts w:hint="eastAsia"/>
          <w:color w:val="auto"/>
          <w:lang w:val="en-US" w:eastAsia="zh-CN"/>
        </w:rPr>
      </w:pPr>
    </w:p>
    <w:p w14:paraId="4594FE5E">
      <w:pPr>
        <w:pStyle w:val="6"/>
        <w:rPr>
          <w:rFonts w:hint="eastAsia"/>
          <w:color w:val="auto"/>
          <w:lang w:val="en-US" w:eastAsia="zh-CN"/>
        </w:rPr>
      </w:pPr>
    </w:p>
    <w:p w14:paraId="25D5F319">
      <w:pPr>
        <w:rPr>
          <w:rFonts w:hint="eastAsia"/>
          <w:color w:val="auto"/>
          <w:lang w:val="en-US" w:eastAsia="zh-CN"/>
        </w:rPr>
      </w:pPr>
    </w:p>
    <w:p w14:paraId="06E10A87">
      <w:pPr>
        <w:pStyle w:val="6"/>
        <w:rPr>
          <w:rFonts w:hint="eastAsia"/>
          <w:color w:val="auto"/>
          <w:lang w:val="en-US" w:eastAsia="zh-CN"/>
        </w:rPr>
      </w:pPr>
    </w:p>
    <w:p w14:paraId="5318B372">
      <w:pPr>
        <w:rPr>
          <w:rFonts w:hint="eastAsia"/>
          <w:color w:val="auto"/>
          <w:lang w:val="en-US" w:eastAsia="zh-CN"/>
        </w:rPr>
      </w:pPr>
    </w:p>
    <w:p w14:paraId="5D254B27">
      <w:pPr>
        <w:pStyle w:val="6"/>
        <w:rPr>
          <w:rFonts w:hint="eastAsia"/>
          <w:color w:val="auto"/>
          <w:lang w:val="en-US" w:eastAsia="zh-CN"/>
        </w:rPr>
      </w:pPr>
    </w:p>
    <w:p w14:paraId="46D240F4">
      <w:pPr>
        <w:rPr>
          <w:rFonts w:hint="eastAsia"/>
          <w:color w:val="auto"/>
          <w:lang w:val="en-US" w:eastAsia="zh-CN"/>
        </w:rPr>
      </w:pPr>
    </w:p>
    <w:p w14:paraId="3E665352">
      <w:pPr>
        <w:pStyle w:val="6"/>
        <w:rPr>
          <w:rFonts w:hint="eastAsia"/>
          <w:color w:val="auto"/>
          <w:lang w:val="en-US" w:eastAsia="zh-CN"/>
        </w:rPr>
      </w:pPr>
    </w:p>
    <w:p w14:paraId="0C163311">
      <w:pPr>
        <w:rPr>
          <w:rFonts w:hint="eastAsia"/>
          <w:color w:val="auto"/>
          <w:lang w:val="en-US" w:eastAsia="zh-CN"/>
        </w:rPr>
      </w:pPr>
    </w:p>
    <w:p w14:paraId="3A764501">
      <w:pPr>
        <w:pStyle w:val="6"/>
        <w:rPr>
          <w:rFonts w:hint="eastAsia"/>
          <w:color w:val="auto"/>
          <w:lang w:val="en-US" w:eastAsia="zh-CN"/>
        </w:rPr>
      </w:pPr>
    </w:p>
    <w:p w14:paraId="0DC5A49A">
      <w:pPr>
        <w:rPr>
          <w:rFonts w:hint="eastAsia"/>
          <w:color w:val="auto"/>
          <w:lang w:val="en-US" w:eastAsia="zh-CN"/>
        </w:rPr>
      </w:pPr>
    </w:p>
    <w:p w14:paraId="128BF257">
      <w:pPr>
        <w:pStyle w:val="6"/>
        <w:rPr>
          <w:rFonts w:hint="eastAsia"/>
          <w:color w:val="auto"/>
          <w:lang w:val="en-US" w:eastAsia="zh-CN"/>
        </w:rPr>
      </w:pPr>
    </w:p>
    <w:p w14:paraId="75896578">
      <w:pPr>
        <w:pStyle w:val="6"/>
        <w:rPr>
          <w:rFonts w:hint="eastAsia"/>
          <w:color w:val="auto"/>
          <w:lang w:val="en-US" w:eastAsia="zh-CN"/>
        </w:rPr>
      </w:pPr>
    </w:p>
    <w:p w14:paraId="25FF21BD">
      <w:pPr>
        <w:pStyle w:val="4"/>
        <w:widowControl w:val="0"/>
        <w:kinsoku/>
        <w:autoSpaceDE/>
        <w:autoSpaceDN/>
        <w:adjustRightInd/>
        <w:snapToGrid/>
        <w:spacing w:before="0" w:after="0" w:line="360" w:lineRule="auto"/>
        <w:ind w:firstLine="137"/>
        <w:jc w:val="center"/>
        <w:textAlignment w:val="auto"/>
        <w:rPr>
          <w:rFonts w:hint="eastAsia" w:ascii="方正仿宋_GB18030" w:hAnsi="方正仿宋_GB18030" w:eastAsia="方正仿宋_GB18030" w:cs="方正仿宋_GB18030"/>
          <w:b w:val="0"/>
          <w:snapToGrid/>
          <w:color w:val="auto"/>
          <w:kern w:val="2"/>
          <w:highlight w:val="none"/>
          <w:lang w:val="en-US" w:eastAsia="zh-CN" w:bidi="ar-SA"/>
        </w:rPr>
      </w:pPr>
      <w:bookmarkStart w:id="243" w:name="_Toc14600"/>
    </w:p>
    <w:p w14:paraId="57743D9B">
      <w:pPr>
        <w:pStyle w:val="4"/>
        <w:widowControl w:val="0"/>
        <w:kinsoku/>
        <w:autoSpaceDE/>
        <w:autoSpaceDN/>
        <w:adjustRightInd/>
        <w:snapToGrid/>
        <w:spacing w:before="0" w:after="0" w:line="360" w:lineRule="auto"/>
        <w:ind w:firstLine="137"/>
        <w:jc w:val="center"/>
        <w:textAlignment w:val="auto"/>
        <w:rPr>
          <w:rFonts w:hint="eastAsia" w:ascii="方正仿宋_GB18030" w:hAnsi="方正仿宋_GB18030" w:eastAsia="方正仿宋_GB18030" w:cs="方正仿宋_GB18030"/>
          <w:b w:val="0"/>
          <w:snapToGrid/>
          <w:color w:val="auto"/>
          <w:kern w:val="2"/>
          <w:highlight w:val="none"/>
          <w:lang w:val="en-US" w:eastAsia="zh-CN" w:bidi="ar-SA"/>
        </w:rPr>
      </w:pPr>
      <w:r>
        <w:rPr>
          <w:rFonts w:hint="eastAsia" w:ascii="方正仿宋_GB18030" w:hAnsi="方正仿宋_GB18030" w:eastAsia="方正仿宋_GB18030" w:cs="方正仿宋_GB18030"/>
          <w:b w:val="0"/>
          <w:snapToGrid/>
          <w:color w:val="auto"/>
          <w:kern w:val="2"/>
          <w:highlight w:val="none"/>
          <w:lang w:val="en-US" w:eastAsia="zh-CN" w:bidi="ar-SA"/>
        </w:rPr>
        <w:t>（一）竞选函</w:t>
      </w:r>
      <w:bookmarkEnd w:id="243"/>
    </w:p>
    <w:p w14:paraId="3C798780">
      <w:pPr>
        <w:pageBreakBefore w:val="0"/>
        <w:wordWrap/>
        <w:overflowPunct/>
        <w:topLinePunct w:val="0"/>
        <w:bidi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p>
    <w:p w14:paraId="59B5FEC0">
      <w:pPr>
        <w:pageBreakBefore w:val="0"/>
        <w:wordWrap/>
        <w:overflowPunct/>
        <w:topLinePunct w:val="0"/>
        <w:bidi w:val="0"/>
        <w:spacing w:line="400" w:lineRule="exact"/>
        <w:rPr>
          <w:rFonts w:hint="eastAsia" w:ascii="方正仿宋_GB18030" w:hAnsi="方正仿宋_GB18030" w:eastAsia="方正仿宋_GB18030" w:cs="方正仿宋_GB18030"/>
          <w:color w:val="auto"/>
          <w:sz w:val="21"/>
          <w:szCs w:val="21"/>
          <w:u w:val="single"/>
          <w:lang w:val="en-US" w:eastAsia="zh-CN"/>
        </w:rPr>
      </w:pPr>
      <w:r>
        <w:rPr>
          <w:rFonts w:hint="eastAsia" w:ascii="方正仿宋_GB18030" w:hAnsi="方正仿宋_GB18030" w:eastAsia="方正仿宋_GB18030" w:cs="方正仿宋_GB18030"/>
          <w:color w:val="auto"/>
          <w:sz w:val="21"/>
          <w:szCs w:val="21"/>
          <w:u w:val="single"/>
          <w:lang w:val="en-US" w:eastAsia="zh-CN"/>
        </w:rPr>
        <w:tab/>
      </w:r>
      <w:r>
        <w:rPr>
          <w:rFonts w:hint="eastAsia" w:ascii="方正仿宋_GB18030" w:hAnsi="方正仿宋_GB18030" w:eastAsia="方正仿宋_GB18030" w:cs="方正仿宋_GB18030"/>
          <w:color w:val="auto"/>
          <w:sz w:val="21"/>
          <w:szCs w:val="21"/>
          <w:u w:val="single"/>
          <w:lang w:val="en-US" w:eastAsia="zh-CN"/>
        </w:rPr>
        <w:t xml:space="preserve">          </w:t>
      </w:r>
      <w:r>
        <w:rPr>
          <w:rFonts w:hint="eastAsia" w:ascii="方正仿宋_GB18030" w:hAnsi="方正仿宋_GB18030" w:eastAsia="方正仿宋_GB18030" w:cs="方正仿宋_GB18030"/>
          <w:color w:val="auto"/>
          <w:sz w:val="21"/>
          <w:szCs w:val="21"/>
          <w:u w:val="none"/>
          <w:lang w:val="en-US" w:eastAsia="zh-CN"/>
        </w:rPr>
        <w:t>（比选人名称）：</w:t>
      </w:r>
    </w:p>
    <w:p w14:paraId="392350DB">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1．我方已仔细研究了</w:t>
      </w:r>
      <w:r>
        <w:rPr>
          <w:rFonts w:hint="eastAsia" w:ascii="方正仿宋_GB18030" w:hAnsi="方正仿宋_GB18030" w:eastAsia="方正仿宋_GB18030" w:cs="方正仿宋_GB18030"/>
          <w:color w:val="auto"/>
          <w:sz w:val="21"/>
          <w:szCs w:val="21"/>
          <w:u w:val="single"/>
          <w:lang w:val="en-US" w:eastAsia="zh-CN"/>
        </w:rPr>
        <w:t xml:space="preserve">                 </w:t>
      </w:r>
      <w:r>
        <w:rPr>
          <w:rFonts w:hint="eastAsia" w:ascii="方正仿宋_GB18030" w:hAnsi="方正仿宋_GB18030" w:eastAsia="方正仿宋_GB18030" w:cs="方正仿宋_GB18030"/>
          <w:color w:val="auto"/>
          <w:sz w:val="21"/>
          <w:szCs w:val="21"/>
          <w:lang w:val="en-US" w:eastAsia="zh-CN"/>
        </w:rPr>
        <w:t>（项目名称）比选文件的全部内容，愿意以人民币（大写）</w:t>
      </w:r>
      <w:r>
        <w:rPr>
          <w:rFonts w:hint="eastAsia" w:ascii="方正仿宋_GB18030" w:hAnsi="方正仿宋_GB18030" w:eastAsia="方正仿宋_GB18030" w:cs="方正仿宋_GB18030"/>
          <w:color w:val="auto"/>
          <w:sz w:val="21"/>
          <w:szCs w:val="21"/>
          <w:u w:val="single"/>
          <w:lang w:val="en-US" w:eastAsia="zh-CN"/>
        </w:rPr>
        <w:t xml:space="preserve">               </w:t>
      </w:r>
      <w:r>
        <w:rPr>
          <w:rFonts w:hint="eastAsia" w:ascii="方正仿宋_GB18030" w:hAnsi="方正仿宋_GB18030" w:eastAsia="方正仿宋_GB18030" w:cs="方正仿宋_GB18030"/>
          <w:color w:val="auto"/>
          <w:sz w:val="21"/>
          <w:szCs w:val="21"/>
          <w:lang w:val="en-US" w:eastAsia="zh-CN"/>
        </w:rPr>
        <w:t>（¥</w:t>
      </w:r>
      <w:r>
        <w:rPr>
          <w:rFonts w:hint="eastAsia" w:ascii="方正仿宋_GB18030" w:hAnsi="方正仿宋_GB18030" w:eastAsia="方正仿宋_GB18030" w:cs="方正仿宋_GB18030"/>
          <w:color w:val="auto"/>
          <w:sz w:val="21"/>
          <w:szCs w:val="21"/>
          <w:u w:val="single"/>
          <w:lang w:val="en-US" w:eastAsia="zh-CN"/>
        </w:rPr>
        <w:t xml:space="preserve">          </w:t>
      </w:r>
      <w:r>
        <w:rPr>
          <w:rFonts w:hint="eastAsia" w:ascii="方正仿宋_GB18030" w:hAnsi="方正仿宋_GB18030" w:eastAsia="方正仿宋_GB18030" w:cs="方正仿宋_GB18030"/>
          <w:color w:val="auto"/>
          <w:sz w:val="21"/>
          <w:szCs w:val="21"/>
          <w:lang w:val="en-US" w:eastAsia="zh-CN"/>
        </w:rPr>
        <w:t>）的竞选报价完成工作，并按合同约定履行义务。</w:t>
      </w:r>
    </w:p>
    <w:p w14:paraId="022D50C9">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2. 竞选文件的组成部分如存在内容不一致的，以竞选函为准。</w:t>
      </w:r>
    </w:p>
    <w:p w14:paraId="5246D3C6">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 xml:space="preserve">3．我方承诺将按竞选文件提供服务。 </w:t>
      </w:r>
    </w:p>
    <w:p w14:paraId="47B2A6BC">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4．我方承诺在比选文件规定的比选有效期内不撤销竞选文件。</w:t>
      </w:r>
    </w:p>
    <w:p w14:paraId="67DBF58C">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5. 我方在此声明，所递交的竞选文件及有关资料内容完整、真实和准确。</w:t>
      </w:r>
    </w:p>
    <w:p w14:paraId="28869CF7">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6．如我方中选，我方承诺：</w:t>
      </w:r>
    </w:p>
    <w:p w14:paraId="26A6E0E1">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（1）在收到成交通知书后，在成交通知书规定的期限内与你方签订合同；</w:t>
      </w:r>
    </w:p>
    <w:p w14:paraId="161654D0">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（2）在签订合同时不向你方提出附加条件；</w:t>
      </w:r>
    </w:p>
    <w:p w14:paraId="676EB0BE">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（3）按照比选文件要求提交履约保证金（若有）；</w:t>
      </w:r>
    </w:p>
    <w:p w14:paraId="09BD578D">
      <w:pPr>
        <w:pageBreakBefore w:val="0"/>
        <w:wordWrap/>
        <w:overflowPunct/>
        <w:topLinePunct w:val="0"/>
        <w:bidi w:val="0"/>
        <w:spacing w:line="400" w:lineRule="exact"/>
        <w:ind w:firstLine="420" w:firstLineChars="200"/>
        <w:rPr>
          <w:rFonts w:hint="eastAsia" w:ascii="方正仿宋_GB18030" w:hAnsi="方正仿宋_GB18030" w:eastAsia="方正仿宋_GB18030" w:cs="方正仿宋_GB18030"/>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（4）在合同约定的期限内完成合同规定的全部义务。</w:t>
      </w:r>
    </w:p>
    <w:p w14:paraId="2D5717C7">
      <w:pPr>
        <w:pageBreakBefore w:val="0"/>
        <w:wordWrap/>
        <w:overflowPunct/>
        <w:topLinePunct w:val="0"/>
        <w:bidi w:val="0"/>
        <w:spacing w:line="400" w:lineRule="exact"/>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方正仿宋_GB18030" w:hAnsi="方正仿宋_GB18030" w:eastAsia="方正仿宋_GB18030" w:cs="方正仿宋_GB18030"/>
          <w:color w:val="auto"/>
          <w:sz w:val="21"/>
          <w:szCs w:val="21"/>
          <w:lang w:val="en-US" w:eastAsia="zh-CN"/>
        </w:rPr>
        <w:t>7 ．</w:t>
      </w:r>
      <w:r>
        <w:rPr>
          <w:rFonts w:hint="eastAsia" w:ascii="方正仿宋_GB18030" w:hAnsi="方正仿宋_GB18030" w:eastAsia="方正仿宋_GB18030" w:cs="方正仿宋_GB18030"/>
          <w:color w:val="auto"/>
          <w:sz w:val="21"/>
          <w:szCs w:val="21"/>
          <w:u w:val="single"/>
          <w:lang w:val="en-US" w:eastAsia="zh-CN"/>
        </w:rPr>
        <w:t xml:space="preserve">                             </w:t>
      </w:r>
      <w:r>
        <w:rPr>
          <w:rFonts w:hint="eastAsia" w:ascii="方正仿宋_GB18030" w:hAnsi="方正仿宋_GB18030" w:eastAsia="方正仿宋_GB18030" w:cs="方正仿宋_GB18030"/>
          <w:color w:val="auto"/>
          <w:sz w:val="21"/>
          <w:szCs w:val="21"/>
          <w:lang w:val="en-US" w:eastAsia="zh-CN"/>
        </w:rPr>
        <w:t>（其他补充说明）。</w:t>
      </w:r>
    </w:p>
    <w:p w14:paraId="09029C3E">
      <w:pPr>
        <w:pStyle w:val="6"/>
        <w:rPr>
          <w:rFonts w:hint="eastAsia"/>
          <w:color w:val="auto"/>
          <w:lang w:val="en-US" w:eastAsia="zh-CN"/>
        </w:rPr>
      </w:pPr>
    </w:p>
    <w:p w14:paraId="4675CB2C">
      <w:pPr>
        <w:ind w:left="105" w:right="105"/>
        <w:rPr>
          <w:rFonts w:ascii="方正仿宋_GBK" w:hAnsi="方正仿宋_GBK" w:eastAsia="方正仿宋_GBK"/>
        </w:rPr>
      </w:pPr>
    </w:p>
    <w:p w14:paraId="6AB4A832">
      <w:pPr>
        <w:pStyle w:val="6"/>
        <w:ind w:left="105" w:right="105" w:firstLine="4725" w:firstLineChars="2250"/>
        <w:rPr>
          <w:rFonts w:ascii="方正仿宋_GBK" w:hAnsi="方正仿宋_GBK" w:eastAsia="方正仿宋_GBK"/>
          <w:color w:val="auto"/>
        </w:rPr>
      </w:pPr>
      <w:r>
        <w:rPr>
          <w:rFonts w:hint="eastAsia" w:ascii="方正仿宋_GBK" w:hAnsi="方正仿宋_GBK" w:eastAsia="方正仿宋_GBK"/>
          <w:color w:val="auto"/>
        </w:rPr>
        <w:t>竞选人：</w:t>
      </w:r>
      <w:r>
        <w:rPr>
          <w:rFonts w:hint="eastAsia" w:ascii="方正仿宋_GBK" w:hAnsi="方正仿宋_GBK" w:eastAsia="方正仿宋_GBK"/>
          <w:color w:val="auto"/>
          <w:u w:val="single"/>
        </w:rPr>
        <w:t xml:space="preserve">          </w:t>
      </w:r>
      <w:r>
        <w:rPr>
          <w:rFonts w:hint="eastAsia" w:ascii="方正仿宋_GBK" w:hAnsi="方正仿宋_GBK" w:eastAsia="方正仿宋_GBK"/>
          <w:color w:val="auto"/>
        </w:rPr>
        <w:t>（单位公章）</w:t>
      </w:r>
    </w:p>
    <w:p w14:paraId="7A7A40B5">
      <w:pPr>
        <w:ind w:left="105" w:right="105" w:firstLine="3780" w:firstLineChars="1800"/>
        <w:rPr>
          <w:rFonts w:ascii="方正仿宋_GBK" w:hAnsi="方正仿宋_GBK" w:eastAsia="方正仿宋_GBK"/>
        </w:rPr>
      </w:pPr>
      <w:r>
        <w:rPr>
          <w:rFonts w:hint="eastAsia" w:ascii="方正仿宋_GBK" w:hAnsi="方正仿宋_GBK" w:eastAsia="方正仿宋_GBK"/>
        </w:rPr>
        <w:t>法定代表人或授权代表人：</w:t>
      </w:r>
      <w:r>
        <w:rPr>
          <w:rFonts w:hint="eastAsia" w:ascii="方正仿宋_GBK" w:hAnsi="方正仿宋_GBK" w:eastAsia="方正仿宋_GBK"/>
          <w:u w:val="single"/>
        </w:rPr>
        <w:t xml:space="preserve">         </w:t>
      </w:r>
      <w:r>
        <w:rPr>
          <w:rFonts w:hint="eastAsia" w:ascii="方正仿宋_GBK" w:hAnsi="方正仿宋_GBK" w:eastAsia="方正仿宋_GBK"/>
        </w:rPr>
        <w:t>（签字）</w:t>
      </w:r>
    </w:p>
    <w:p w14:paraId="59E387D6">
      <w:pPr>
        <w:pStyle w:val="6"/>
        <w:ind w:left="105" w:right="105"/>
        <w:rPr>
          <w:rFonts w:ascii="方正仿宋_GBK" w:hAnsi="方正仿宋_GBK" w:eastAsia="方正仿宋_GBK"/>
        </w:rPr>
      </w:pPr>
      <w:r>
        <w:rPr>
          <w:rFonts w:hint="eastAsia" w:ascii="方正仿宋_GBK" w:hAnsi="方正仿宋_GBK" w:eastAsia="方正仿宋_GBK"/>
        </w:rPr>
        <w:t xml:space="preserve">                                          </w:t>
      </w:r>
      <w:r>
        <w:rPr>
          <w:rFonts w:hint="eastAsia" w:ascii="方正仿宋_GBK" w:hAnsi="方正仿宋_GBK" w:eastAsia="方正仿宋_GBK"/>
          <w:u w:val="single"/>
        </w:rPr>
        <w:t xml:space="preserve">     </w:t>
      </w:r>
      <w:r>
        <w:rPr>
          <w:rFonts w:hint="eastAsia" w:ascii="方正仿宋_GBK" w:hAnsi="方正仿宋_GBK" w:eastAsia="方正仿宋_GBK"/>
        </w:rPr>
        <w:t>年</w:t>
      </w:r>
      <w:r>
        <w:rPr>
          <w:rFonts w:hint="eastAsia" w:ascii="方正仿宋_GBK" w:hAnsi="方正仿宋_GBK" w:eastAsia="方正仿宋_GBK"/>
          <w:u w:val="single"/>
        </w:rPr>
        <w:t xml:space="preserve">     </w:t>
      </w:r>
      <w:r>
        <w:rPr>
          <w:rFonts w:hint="eastAsia" w:ascii="方正仿宋_GBK" w:hAnsi="方正仿宋_GBK" w:eastAsia="方正仿宋_GBK"/>
        </w:rPr>
        <w:t xml:space="preserve"> 月</w:t>
      </w:r>
      <w:r>
        <w:rPr>
          <w:rFonts w:hint="eastAsia" w:ascii="方正仿宋_GBK" w:hAnsi="方正仿宋_GBK" w:eastAsia="方正仿宋_GBK"/>
          <w:u w:val="single"/>
        </w:rPr>
        <w:t xml:space="preserve">     </w:t>
      </w:r>
      <w:r>
        <w:rPr>
          <w:rFonts w:hint="eastAsia" w:ascii="方正仿宋_GBK" w:hAnsi="方正仿宋_GBK" w:eastAsia="方正仿宋_GBK"/>
        </w:rPr>
        <w:t xml:space="preserve"> 日</w:t>
      </w:r>
    </w:p>
    <w:p w14:paraId="4636A979">
      <w:pPr>
        <w:ind w:left="48" w:leftChars="23" w:right="105"/>
        <w:jc w:val="left"/>
      </w:pPr>
    </w:p>
    <w:p w14:paraId="6F911313">
      <w:pPr>
        <w:ind w:left="48" w:leftChars="23" w:right="105"/>
        <w:jc w:val="left"/>
      </w:pPr>
    </w:p>
    <w:p w14:paraId="23A88AD2">
      <w:pPr>
        <w:ind w:left="48" w:leftChars="23" w:right="105"/>
        <w:jc w:val="left"/>
      </w:pPr>
    </w:p>
    <w:p w14:paraId="529E2D08">
      <w:pPr>
        <w:ind w:left="48" w:leftChars="23" w:right="105"/>
        <w:jc w:val="left"/>
      </w:pPr>
    </w:p>
    <w:p w14:paraId="0C53485E">
      <w:pPr>
        <w:ind w:left="48" w:leftChars="23" w:right="105"/>
        <w:jc w:val="left"/>
      </w:pPr>
    </w:p>
    <w:p w14:paraId="7F262225">
      <w:pPr>
        <w:ind w:left="48" w:leftChars="23" w:right="105"/>
        <w:jc w:val="left"/>
      </w:pPr>
    </w:p>
    <w:p w14:paraId="6C3BD094">
      <w:pPr>
        <w:ind w:left="48" w:leftChars="23" w:right="105"/>
        <w:jc w:val="left"/>
      </w:pPr>
    </w:p>
    <w:p w14:paraId="7603CBA7">
      <w:pPr>
        <w:ind w:left="48" w:leftChars="23" w:right="105"/>
        <w:jc w:val="left"/>
      </w:pPr>
    </w:p>
    <w:p w14:paraId="56534C42">
      <w:pPr>
        <w:ind w:left="48" w:leftChars="23" w:right="105"/>
        <w:jc w:val="left"/>
      </w:pPr>
    </w:p>
    <w:p w14:paraId="02A1C0D2">
      <w:pPr>
        <w:ind w:left="48" w:leftChars="23" w:right="105"/>
        <w:jc w:val="left"/>
      </w:pPr>
    </w:p>
    <w:p w14:paraId="72D1523B">
      <w:pPr>
        <w:ind w:left="48" w:leftChars="23" w:right="105"/>
        <w:jc w:val="left"/>
      </w:pPr>
    </w:p>
    <w:p w14:paraId="57C0FE35">
      <w:pPr>
        <w:ind w:left="48" w:leftChars="23" w:right="105"/>
        <w:jc w:val="left"/>
      </w:pPr>
    </w:p>
    <w:p w14:paraId="5C6AA064">
      <w:pPr>
        <w:ind w:left="48" w:leftChars="23" w:right="105"/>
        <w:jc w:val="left"/>
      </w:pPr>
    </w:p>
    <w:p w14:paraId="23F575AA">
      <w:pPr>
        <w:ind w:left="48" w:leftChars="23" w:right="105"/>
        <w:jc w:val="left"/>
      </w:pPr>
    </w:p>
    <w:p w14:paraId="0E577CA1">
      <w:pPr>
        <w:ind w:left="48" w:leftChars="23" w:right="105"/>
        <w:jc w:val="left"/>
      </w:pPr>
    </w:p>
    <w:p w14:paraId="113C6EB8">
      <w:pPr>
        <w:ind w:left="48" w:leftChars="23" w:right="105"/>
        <w:jc w:val="left"/>
      </w:pPr>
    </w:p>
    <w:p w14:paraId="37AF03E2">
      <w:pPr>
        <w:ind w:left="48" w:leftChars="23" w:right="105"/>
        <w:jc w:val="left"/>
      </w:pPr>
    </w:p>
    <w:p w14:paraId="3C95D0E6">
      <w:pPr>
        <w:ind w:left="48" w:leftChars="23" w:right="105"/>
        <w:jc w:val="left"/>
      </w:pPr>
    </w:p>
    <w:p w14:paraId="30904966">
      <w:pPr>
        <w:ind w:left="48" w:leftChars="23" w:right="105"/>
        <w:jc w:val="left"/>
      </w:pPr>
    </w:p>
    <w:p w14:paraId="2D8922B3">
      <w:pPr>
        <w:ind w:left="48" w:leftChars="23" w:right="105"/>
        <w:jc w:val="left"/>
      </w:pPr>
    </w:p>
    <w:p w14:paraId="747F9BE2">
      <w:pPr>
        <w:ind w:left="48" w:leftChars="23" w:right="105"/>
        <w:jc w:val="left"/>
      </w:pPr>
    </w:p>
    <w:p w14:paraId="276CAF6B">
      <w:pPr>
        <w:pStyle w:val="6"/>
        <w:rPr>
          <w:rFonts w:hint="eastAsia"/>
          <w:color w:val="auto"/>
          <w:lang w:val="en-US" w:eastAsia="zh-CN"/>
        </w:rPr>
      </w:pPr>
    </w:p>
    <w:p w14:paraId="62D5404F">
      <w:pPr>
        <w:numPr>
          <w:ilvl w:val="0"/>
          <w:numId w:val="3"/>
        </w:numPr>
        <w:ind w:left="105" w:right="105"/>
        <w:jc w:val="center"/>
        <w:outlineLvl w:val="2"/>
        <w:rPr>
          <w:rFonts w:hint="eastAsia" w:ascii="方正仿宋_GBK" w:hAnsi="方正仿宋_GBK" w:eastAsia="方正仿宋_GBK" w:cs="Times New Roman"/>
          <w:sz w:val="28"/>
          <w:szCs w:val="20"/>
        </w:rPr>
      </w:pPr>
      <w:r>
        <w:rPr>
          <w:rFonts w:hint="eastAsia" w:ascii="方正仿宋_GBK" w:hAnsi="方正仿宋_GBK" w:eastAsia="方正仿宋_GBK" w:cs="Times New Roman"/>
          <w:sz w:val="28"/>
          <w:szCs w:val="20"/>
        </w:rPr>
        <w:t>分项报价明细表</w:t>
      </w:r>
    </w:p>
    <w:p w14:paraId="64BFB0EA">
      <w:pPr>
        <w:numPr>
          <w:ilvl w:val="0"/>
          <w:numId w:val="4"/>
        </w:numPr>
        <w:ind w:left="105" w:right="105"/>
        <w:jc w:val="left"/>
        <w:outlineLvl w:val="2"/>
        <w:rPr>
          <w:rFonts w:hint="eastAsia" w:ascii="方正仿宋_GBK" w:hAnsi="方正仿宋_GBK" w:eastAsia="方正仿宋_GBK" w:cs="Times New Roman"/>
          <w:sz w:val="28"/>
          <w:szCs w:val="20"/>
          <w:highlight w:val="none"/>
        </w:rPr>
      </w:pPr>
      <w:r>
        <w:rPr>
          <w:rFonts w:hint="eastAsia" w:ascii="方正仿宋_GBK" w:hAnsi="方正仿宋_GBK" w:eastAsia="方正仿宋_GBK" w:cs="Times New Roman"/>
          <w:sz w:val="28"/>
          <w:szCs w:val="20"/>
          <w:highlight w:val="none"/>
        </w:rPr>
        <w:t>分项报价明细表</w:t>
      </w:r>
    </w:p>
    <w:p w14:paraId="3CD2E61D">
      <w:pPr>
        <w:numPr>
          <w:ilvl w:val="0"/>
          <w:numId w:val="5"/>
        </w:numPr>
        <w:ind w:right="105" w:rightChars="50"/>
        <w:jc w:val="left"/>
        <w:outlineLvl w:val="2"/>
        <w:rPr>
          <w:rFonts w:hint="eastAsia" w:ascii="方正仿宋_GBK" w:hAnsi="方正仿宋_GBK" w:eastAsia="方正仿宋_GBK" w:cs="Times New Roman"/>
          <w:sz w:val="28"/>
          <w:szCs w:val="20"/>
          <w:highlight w:val="none"/>
          <w:lang w:val="en-US" w:eastAsia="zh-CN"/>
        </w:rPr>
      </w:pPr>
      <w:r>
        <w:rPr>
          <w:rFonts w:hint="eastAsia" w:ascii="方正仿宋_GBK" w:hAnsi="方正仿宋_GBK" w:eastAsia="方正仿宋_GBK" w:cs="Times New Roman"/>
          <w:sz w:val="28"/>
          <w:szCs w:val="20"/>
          <w:highlight w:val="none"/>
          <w:lang w:val="en-US" w:eastAsia="zh-CN"/>
        </w:rPr>
        <w:t>项目清单及报价明细表</w:t>
      </w:r>
    </w:p>
    <w:tbl>
      <w:tblPr>
        <w:tblStyle w:val="15"/>
        <w:tblW w:w="8474"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6"/>
        <w:gridCol w:w="790"/>
        <w:gridCol w:w="3803"/>
        <w:gridCol w:w="1241"/>
        <w:gridCol w:w="1344"/>
      </w:tblGrid>
      <w:tr w14:paraId="2111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A5CB">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设备名称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F244">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数量</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92CE">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技术参数</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3C9C">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含税单价（元）</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BE1D">
            <w:pPr>
              <w:keepNext w:val="0"/>
              <w:keepLines w:val="0"/>
              <w:pageBreakBefore w:val="0"/>
              <w:widowControl/>
              <w:suppressLineNumbers w:val="0"/>
              <w:wordWrap/>
              <w:overflowPunct/>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小计</w:t>
            </w:r>
          </w:p>
        </w:tc>
      </w:tr>
      <w:tr w14:paraId="7B227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6B7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lang w:val="en-US"/>
              </w:rPr>
            </w:pPr>
            <w:r>
              <w:rPr>
                <w:rFonts w:hint="default" w:ascii="Times New Roman" w:hAnsi="Times New Roman" w:eastAsia="方正仿宋_GBK" w:cs="Times New Roman"/>
                <w:i w:val="0"/>
                <w:iCs w:val="0"/>
                <w:snapToGrid w:val="0"/>
                <w:color w:val="000000"/>
                <w:kern w:val="0"/>
                <w:sz w:val="24"/>
                <w:szCs w:val="24"/>
                <w:u w:val="none"/>
                <w:lang w:val="en-US" w:eastAsia="zh-CN" w:bidi="ar"/>
              </w:rPr>
              <w:t>便携式DO仪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2B50">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4 </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DA3A">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溶解氧（DO）：0.0～20.0mg/L</w:t>
            </w:r>
            <w:r>
              <w:rPr>
                <w:rFonts w:hint="default" w:ascii="Times New Roman" w:hAnsi="Times New Roman" w:eastAsia="方正仿宋_GBK" w:cs="Times New Roman"/>
                <w:i w:val="0"/>
                <w:iCs w:val="0"/>
                <w:snapToGrid w:val="0"/>
                <w:color w:val="000000"/>
                <w:kern w:val="0"/>
                <w:sz w:val="24"/>
                <w:szCs w:val="24"/>
                <w:u w:val="none"/>
                <w:lang w:val="en-US" w:eastAsia="zh-CN" w:bidi="ar"/>
              </w:rPr>
              <w:br w:type="textWrapping"/>
            </w:r>
            <w:r>
              <w:rPr>
                <w:rFonts w:hint="default" w:ascii="Times New Roman" w:hAnsi="Times New Roman" w:eastAsia="方正仿宋_GBK" w:cs="Times New Roman"/>
                <w:i w:val="0"/>
                <w:iCs w:val="0"/>
                <w:snapToGrid w:val="0"/>
                <w:color w:val="000000"/>
                <w:kern w:val="0"/>
                <w:sz w:val="24"/>
                <w:szCs w:val="24"/>
                <w:u w:val="none"/>
                <w:lang w:val="en-US" w:eastAsia="zh-CN" w:bidi="ar"/>
              </w:rPr>
              <w:t>饱和度：0～200%</w:t>
            </w:r>
            <w:r>
              <w:rPr>
                <w:rFonts w:hint="default" w:ascii="Times New Roman" w:hAnsi="Times New Roman" w:eastAsia="方正仿宋_GBK" w:cs="Times New Roman"/>
                <w:i w:val="0"/>
                <w:iCs w:val="0"/>
                <w:snapToGrid w:val="0"/>
                <w:color w:val="000000"/>
                <w:kern w:val="0"/>
                <w:sz w:val="24"/>
                <w:szCs w:val="24"/>
                <w:u w:val="none"/>
                <w:lang w:val="en-US" w:eastAsia="zh-CN" w:bidi="ar"/>
              </w:rPr>
              <w:br w:type="textWrapping"/>
            </w: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温度（T）：0～100℃        </w:t>
            </w:r>
          </w:p>
          <w:p w14:paraId="50CFEE7D">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   测量精度：溶氧度：±0.2mg/L  </w:t>
            </w:r>
          </w:p>
          <w:p w14:paraId="497DBB5C">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snapToGrid w:val="0"/>
                <w:color w:val="000000"/>
                <w:kern w:val="0"/>
                <w:sz w:val="24"/>
                <w:szCs w:val="24"/>
                <w:u w:val="none"/>
                <w:lang w:val="en-US" w:eastAsia="zh-CN" w:bidi="ar"/>
              </w:rPr>
              <w:t>饱和度：±0.5mg/L</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9AA7">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D6EA">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0414E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B762">
            <w:pPr>
              <w:keepNext w:val="0"/>
              <w:keepLines w:val="0"/>
              <w:widowControl/>
              <w:suppressLineNumbers w:val="0"/>
              <w:jc w:val="center"/>
              <w:textAlignment w:val="center"/>
              <w:rPr>
                <w:rFonts w:hint="default" w:ascii="Times New Roman" w:hAnsi="Times New Roman" w:eastAsia="方正仿宋_GBK" w:cs="Times New Roman"/>
                <w:i w:val="0"/>
                <w:iCs w:val="0"/>
                <w:caps w:val="0"/>
                <w:color w:val="0F1115"/>
                <w:spacing w:val="0"/>
                <w:sz w:val="24"/>
                <w:szCs w:val="24"/>
                <w:shd w:val="clear" w:fill="FFFFFF"/>
              </w:rPr>
            </w:pPr>
            <w:r>
              <w:rPr>
                <w:rFonts w:hint="default" w:ascii="Times New Roman" w:hAnsi="Times New Roman" w:eastAsia="方正仿宋_GBK" w:cs="Times New Roman"/>
                <w:i w:val="0"/>
                <w:iCs w:val="0"/>
                <w:snapToGrid w:val="0"/>
                <w:color w:val="000000"/>
                <w:kern w:val="0"/>
                <w:sz w:val="24"/>
                <w:szCs w:val="24"/>
                <w:u w:val="none"/>
                <w:lang w:val="en-US" w:eastAsia="zh-CN" w:bidi="ar"/>
              </w:rPr>
              <w:t>泵吸式气体检测仪</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55A6">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5 </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BBC4">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caps w:val="0"/>
                <w:color w:val="0F1115"/>
                <w:spacing w:val="0"/>
                <w:sz w:val="24"/>
                <w:szCs w:val="24"/>
                <w:shd w:val="clear" w:fill="FFFFFF"/>
              </w:rPr>
            </w:pPr>
            <w:r>
              <w:rPr>
                <w:rFonts w:hint="default" w:ascii="Times New Roman" w:hAnsi="Times New Roman" w:eastAsia="方正仿宋_GBK" w:cs="Times New Roman"/>
                <w:i w:val="0"/>
                <w:iCs w:val="0"/>
                <w:snapToGrid w:val="0"/>
                <w:color w:val="000000"/>
                <w:kern w:val="0"/>
                <w:sz w:val="24"/>
                <w:szCs w:val="24"/>
                <w:u w:val="none"/>
                <w:lang w:val="en-US" w:eastAsia="zh-CN" w:bidi="ar"/>
              </w:rPr>
              <w:t>四合一泵吸式气体检测仪</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4A08">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23D7">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7206F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1A34">
            <w:pPr>
              <w:keepNext w:val="0"/>
              <w:keepLines w:val="0"/>
              <w:widowControl/>
              <w:suppressLineNumbers w:val="0"/>
              <w:jc w:val="center"/>
              <w:textAlignment w:val="center"/>
              <w:rPr>
                <w:rFonts w:hint="default" w:ascii="Times New Roman" w:hAnsi="Times New Roman" w:eastAsia="方正仿宋_GBK" w:cs="Times New Roman"/>
                <w:i w:val="0"/>
                <w:iCs w:val="0"/>
                <w:caps w:val="0"/>
                <w:color w:val="0F1115"/>
                <w:spacing w:val="0"/>
                <w:sz w:val="24"/>
                <w:szCs w:val="24"/>
                <w:shd w:val="clear" w:fill="FFFFFF"/>
              </w:rPr>
            </w:pPr>
            <w:r>
              <w:rPr>
                <w:rFonts w:hint="default" w:ascii="Times New Roman" w:hAnsi="Times New Roman" w:eastAsia="方正仿宋_GBK" w:cs="Times New Roman"/>
                <w:i w:val="0"/>
                <w:iCs w:val="0"/>
                <w:snapToGrid w:val="0"/>
                <w:color w:val="000000"/>
                <w:kern w:val="0"/>
                <w:sz w:val="24"/>
                <w:szCs w:val="24"/>
                <w:u w:val="none"/>
                <w:lang w:val="en-US" w:eastAsia="zh-CN" w:bidi="ar"/>
              </w:rPr>
              <w:t>管道内窥镜(QV)</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A07C">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1 </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4292">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caps w:val="0"/>
                <w:color w:val="0F1115"/>
                <w:spacing w:val="0"/>
                <w:sz w:val="24"/>
                <w:szCs w:val="24"/>
                <w:shd w:val="clear" w:fill="FFFFFF"/>
              </w:rPr>
            </w:pPr>
            <w:r>
              <w:rPr>
                <w:rFonts w:hint="default" w:ascii="Times New Roman" w:hAnsi="Times New Roman" w:eastAsia="方正仿宋_GBK" w:cs="Times New Roman"/>
                <w:i w:val="0"/>
                <w:iCs w:val="0"/>
                <w:snapToGrid w:val="0"/>
                <w:color w:val="000000"/>
                <w:kern w:val="0"/>
                <w:sz w:val="24"/>
                <w:szCs w:val="24"/>
                <w:u w:val="none"/>
                <w:lang w:val="en-US" w:eastAsia="zh-CN" w:bidi="ar"/>
              </w:rPr>
              <w:t>基本功能：</w:t>
            </w:r>
            <w:r>
              <w:rPr>
                <w:rFonts w:hint="eastAsia" w:ascii="Times New Roman" w:hAnsi="Times New Roman" w:eastAsia="方正仿宋_GBK" w:cs="Times New Roman"/>
                <w:i w:val="0"/>
                <w:iCs w:val="0"/>
                <w:snapToGrid w:val="0"/>
                <w:color w:val="000000"/>
                <w:kern w:val="0"/>
                <w:sz w:val="24"/>
                <w:szCs w:val="24"/>
                <w:u w:val="none"/>
                <w:lang w:val="en-US" w:eastAsia="zh-CN" w:bidi="ar"/>
              </w:rPr>
              <w:t>不小于</w:t>
            </w:r>
            <w:r>
              <w:rPr>
                <w:rFonts w:hint="default" w:ascii="Times New Roman" w:hAnsi="Times New Roman" w:eastAsia="方正仿宋_GBK" w:cs="Times New Roman"/>
                <w:i w:val="0"/>
                <w:iCs w:val="0"/>
                <w:snapToGrid w:val="0"/>
                <w:color w:val="000000"/>
                <w:kern w:val="0"/>
                <w:sz w:val="24"/>
                <w:szCs w:val="24"/>
                <w:u w:val="none"/>
                <w:lang w:val="en-US" w:eastAsia="zh-CN" w:bidi="ar"/>
              </w:rPr>
              <w:t>9寸显示屏，旋转双摄像机，拍照，视频录制，录音，分辨率1920*1080P；摄像头视角：</w:t>
            </w:r>
            <w:r>
              <w:rPr>
                <w:rFonts w:hint="eastAsia" w:ascii="Times New Roman" w:hAnsi="Times New Roman" w:eastAsia="方正仿宋_GBK" w:cs="Times New Roman"/>
                <w:i w:val="0"/>
                <w:iCs w:val="0"/>
                <w:snapToGrid w:val="0"/>
                <w:color w:val="000000"/>
                <w:kern w:val="0"/>
                <w:sz w:val="24"/>
                <w:szCs w:val="24"/>
                <w:u w:val="none"/>
                <w:lang w:val="en-US" w:eastAsia="zh-CN" w:bidi="ar"/>
              </w:rPr>
              <w:t>≥</w:t>
            </w:r>
            <w:r>
              <w:rPr>
                <w:rFonts w:hint="default" w:ascii="Times New Roman" w:hAnsi="Times New Roman" w:eastAsia="方正仿宋_GBK" w:cs="Times New Roman"/>
                <w:i w:val="0"/>
                <w:iCs w:val="0"/>
                <w:snapToGrid w:val="0"/>
                <w:color w:val="000000"/>
                <w:kern w:val="0"/>
                <w:sz w:val="24"/>
                <w:szCs w:val="24"/>
                <w:u w:val="none"/>
                <w:lang w:val="en-US" w:eastAsia="zh-CN" w:bidi="ar"/>
              </w:rPr>
              <w:t>145度；最大探测深度/材料：7MM直径电缆：100米/弹性高强度纤维管；摄像头像素:大于100W；防护等级：IP68；</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CC37">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8C25">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271E5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3007">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sz w:val="24"/>
                <w:szCs w:val="24"/>
                <w:u w:val="none"/>
                <w:lang w:val="en-US" w:eastAsia="zh-CN" w:bidi="ar-SA"/>
              </w:rPr>
            </w:pPr>
            <w:r>
              <w:rPr>
                <w:rFonts w:hint="default" w:ascii="Times New Roman" w:hAnsi="Times New Roman" w:eastAsia="方正仿宋_GBK" w:cs="Times New Roman"/>
                <w:i w:val="0"/>
                <w:iCs w:val="0"/>
                <w:snapToGrid w:val="0"/>
                <w:color w:val="000000"/>
                <w:kern w:val="0"/>
                <w:sz w:val="24"/>
                <w:szCs w:val="24"/>
                <w:u w:val="none"/>
                <w:lang w:val="en-US" w:eastAsia="zh-CN" w:bidi="ar"/>
              </w:rPr>
              <w:t>超声波明渠流量计</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D907">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10</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1B1D">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sz w:val="24"/>
                <w:szCs w:val="24"/>
                <w:u w:val="none"/>
                <w:lang w:val="en-US" w:eastAsia="zh-CN" w:bidi="ar-SA"/>
              </w:rPr>
            </w:pPr>
            <w:r>
              <w:rPr>
                <w:rFonts w:hint="default" w:ascii="Times New Roman" w:hAnsi="Times New Roman" w:eastAsia="方正仿宋_GBK" w:cs="Times New Roman"/>
                <w:i w:val="0"/>
                <w:iCs w:val="0"/>
                <w:snapToGrid w:val="0"/>
                <w:color w:val="000000"/>
                <w:kern w:val="0"/>
                <w:sz w:val="24"/>
                <w:szCs w:val="24"/>
                <w:u w:val="none"/>
                <w:lang w:val="en-US" w:eastAsia="zh-CN" w:bidi="ar"/>
              </w:rPr>
              <w:t>超声波液位计，含表头探头，不含巴歇尔槽；盲区-0.3m,量程-0-3m.220V（流量范围：10L/s～10000L/s ）</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0720">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CAA4">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5960A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22B6">
            <w:pPr>
              <w:keepNext w:val="0"/>
              <w:keepLines w:val="0"/>
              <w:widowControl/>
              <w:suppressLineNumbers w:val="0"/>
              <w:jc w:val="center"/>
              <w:textAlignment w:val="center"/>
              <w:rPr>
                <w:rFonts w:hint="default" w:ascii="Times New Roman" w:hAnsi="Times New Roman" w:eastAsia="方正仿宋_GBK" w:cs="Times New Roman"/>
                <w:i w:val="0"/>
                <w:iCs w:val="0"/>
                <w:caps w:val="0"/>
                <w:color w:val="0F1115"/>
                <w:spacing w:val="0"/>
                <w:sz w:val="24"/>
                <w:szCs w:val="24"/>
                <w:shd w:val="clear" w:fill="FFFFFF"/>
                <w:lang w:val="en-US" w:eastAsia="zh-CN"/>
              </w:rPr>
            </w:pPr>
            <w:r>
              <w:rPr>
                <w:rFonts w:hint="default" w:ascii="Times New Roman" w:hAnsi="Times New Roman" w:eastAsia="方正仿宋_GBK" w:cs="Times New Roman"/>
                <w:i w:val="0"/>
                <w:iCs w:val="0"/>
                <w:snapToGrid w:val="0"/>
                <w:color w:val="000000"/>
                <w:kern w:val="0"/>
                <w:sz w:val="24"/>
                <w:szCs w:val="24"/>
                <w:u w:val="none"/>
                <w:lang w:val="en-US" w:eastAsia="zh-CN" w:bidi="ar"/>
              </w:rPr>
              <w:t>罗茨风机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A3E6">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2 </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7464">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caps w:val="0"/>
                <w:color w:val="0F1115"/>
                <w:spacing w:val="0"/>
                <w:sz w:val="24"/>
                <w:szCs w:val="24"/>
                <w:shd w:val="clear" w:fill="FFFFFF"/>
              </w:rPr>
            </w:pPr>
            <w:r>
              <w:rPr>
                <w:rFonts w:hint="default" w:ascii="Times New Roman" w:hAnsi="Times New Roman" w:eastAsia="方正仿宋_GBK" w:cs="Times New Roman"/>
                <w:i w:val="0"/>
                <w:iCs w:val="0"/>
                <w:snapToGrid w:val="0"/>
                <w:color w:val="000000"/>
                <w:kern w:val="0"/>
                <w:sz w:val="24"/>
                <w:szCs w:val="24"/>
                <w:u w:val="none"/>
                <w:lang w:val="en-US" w:eastAsia="zh-CN" w:bidi="ar"/>
              </w:rPr>
              <w:t>Q=1m³/min，P=34.3kpa，N=1.5kW，口径50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5A75">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7825">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16215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A3DB">
            <w:pPr>
              <w:keepNext w:val="0"/>
              <w:keepLines w:val="0"/>
              <w:widowControl/>
              <w:suppressLineNumbers w:val="0"/>
              <w:jc w:val="center"/>
              <w:textAlignment w:val="center"/>
              <w:rPr>
                <w:rFonts w:hint="default" w:ascii="Times New Roman" w:hAnsi="Times New Roman" w:eastAsia="方正仿宋_GBK" w:cs="Times New Roman"/>
                <w:i w:val="0"/>
                <w:iCs w:val="0"/>
                <w:caps w:val="0"/>
                <w:color w:val="0F1115"/>
                <w:spacing w:val="0"/>
                <w:sz w:val="24"/>
                <w:szCs w:val="24"/>
                <w:shd w:val="clear" w:fill="FFFFFF"/>
                <w:lang w:val="en-US" w:eastAsia="zh-CN"/>
              </w:rPr>
            </w:pPr>
            <w:r>
              <w:rPr>
                <w:rFonts w:hint="default" w:ascii="Times New Roman" w:hAnsi="Times New Roman" w:eastAsia="方正仿宋_GBK" w:cs="Times New Roman"/>
                <w:i w:val="0"/>
                <w:iCs w:val="0"/>
                <w:snapToGrid w:val="0"/>
                <w:color w:val="000000"/>
                <w:kern w:val="0"/>
                <w:sz w:val="24"/>
                <w:szCs w:val="24"/>
                <w:u w:val="none"/>
                <w:lang w:val="en-US" w:eastAsia="zh-CN" w:bidi="ar"/>
              </w:rPr>
              <w:t>罗茨风机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CD9B">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1 </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D701">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caps w:val="0"/>
                <w:color w:val="0F1115"/>
                <w:spacing w:val="0"/>
                <w:sz w:val="24"/>
                <w:szCs w:val="24"/>
                <w:shd w:val="clear" w:fill="FFFFFF"/>
              </w:rPr>
            </w:pPr>
            <w:r>
              <w:rPr>
                <w:rFonts w:hint="default" w:ascii="Times New Roman" w:hAnsi="Times New Roman" w:eastAsia="方正仿宋_GBK" w:cs="Times New Roman"/>
                <w:i w:val="0"/>
                <w:iCs w:val="0"/>
                <w:snapToGrid w:val="0"/>
                <w:color w:val="000000"/>
                <w:kern w:val="0"/>
                <w:sz w:val="24"/>
                <w:szCs w:val="24"/>
                <w:u w:val="none"/>
                <w:lang w:val="en-US" w:eastAsia="zh-CN" w:bidi="ar"/>
              </w:rPr>
              <w:t>Q=3.8m³/min，P=53.9kpa，N=5.5kW，口径80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0E72">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E6E8">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70526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06F6">
            <w:pPr>
              <w:keepNext w:val="0"/>
              <w:keepLines w:val="0"/>
              <w:widowControl/>
              <w:suppressLineNumbers w:val="0"/>
              <w:jc w:val="center"/>
              <w:textAlignment w:val="center"/>
              <w:rPr>
                <w:rFonts w:hint="default" w:ascii="Times New Roman" w:hAnsi="Times New Roman" w:eastAsia="方正仿宋_GBK" w:cs="Times New Roman"/>
                <w:i w:val="0"/>
                <w:iCs w:val="0"/>
                <w:caps w:val="0"/>
                <w:color w:val="0F1115"/>
                <w:spacing w:val="0"/>
                <w:sz w:val="24"/>
                <w:szCs w:val="24"/>
                <w:shd w:val="clear" w:fill="FFFFFF"/>
                <w:lang w:val="en-US" w:eastAsia="zh-CN"/>
              </w:rPr>
            </w:pPr>
            <w:r>
              <w:rPr>
                <w:rFonts w:hint="default" w:ascii="Times New Roman" w:hAnsi="Times New Roman" w:eastAsia="方正仿宋_GBK" w:cs="Times New Roman"/>
                <w:i w:val="0"/>
                <w:iCs w:val="0"/>
                <w:snapToGrid w:val="0"/>
                <w:color w:val="000000"/>
                <w:kern w:val="0"/>
                <w:sz w:val="24"/>
                <w:szCs w:val="24"/>
                <w:u w:val="none"/>
                <w:lang w:val="en-US" w:eastAsia="zh-CN" w:bidi="ar"/>
              </w:rPr>
              <w:t>罗茨风机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66B3">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1 </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0633">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caps w:val="0"/>
                <w:color w:val="0F1115"/>
                <w:spacing w:val="0"/>
                <w:sz w:val="24"/>
                <w:szCs w:val="24"/>
                <w:shd w:val="clear" w:fill="FFFFFF"/>
              </w:rPr>
            </w:pPr>
            <w:r>
              <w:rPr>
                <w:rFonts w:hint="default" w:ascii="Times New Roman" w:hAnsi="Times New Roman" w:eastAsia="方正仿宋_GBK" w:cs="Times New Roman"/>
                <w:i w:val="0"/>
                <w:iCs w:val="0"/>
                <w:snapToGrid w:val="0"/>
                <w:color w:val="000000"/>
                <w:kern w:val="0"/>
                <w:sz w:val="24"/>
                <w:szCs w:val="24"/>
                <w:u w:val="none"/>
                <w:lang w:val="en-US" w:eastAsia="zh-CN" w:bidi="ar"/>
              </w:rPr>
              <w:t>Q=6m³/min，P=49kpa，N=11kW，口径100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4146">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E818">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28A09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778B">
            <w:pPr>
              <w:keepNext w:val="0"/>
              <w:keepLines w:val="0"/>
              <w:widowControl/>
              <w:suppressLineNumbers w:val="0"/>
              <w:jc w:val="center"/>
              <w:textAlignment w:val="center"/>
              <w:rPr>
                <w:rFonts w:hint="default" w:ascii="Times New Roman" w:hAnsi="Times New Roman" w:eastAsia="方正仿宋_GBK" w:cs="Times New Roman"/>
                <w:i w:val="0"/>
                <w:iCs w:val="0"/>
                <w:caps w:val="0"/>
                <w:color w:val="0F1115"/>
                <w:spacing w:val="0"/>
                <w:sz w:val="24"/>
                <w:szCs w:val="24"/>
                <w:shd w:val="clear" w:fill="FFFFFF"/>
                <w:lang w:val="en-US" w:eastAsia="zh-CN"/>
              </w:rPr>
            </w:pPr>
            <w:r>
              <w:rPr>
                <w:rFonts w:hint="default" w:ascii="Times New Roman" w:hAnsi="Times New Roman" w:eastAsia="方正仿宋_GBK" w:cs="Times New Roman"/>
                <w:i w:val="0"/>
                <w:iCs w:val="0"/>
                <w:snapToGrid w:val="0"/>
                <w:color w:val="000000"/>
                <w:kern w:val="0"/>
                <w:sz w:val="24"/>
                <w:szCs w:val="24"/>
                <w:u w:val="none"/>
                <w:lang w:val="en-US" w:eastAsia="zh-CN" w:bidi="ar"/>
              </w:rPr>
              <w:t>气动隔膜泵</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04A5">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 xml:space="preserve">2 </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85E8">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caps w:val="0"/>
                <w:color w:val="0F1115"/>
                <w:spacing w:val="0"/>
                <w:sz w:val="24"/>
                <w:szCs w:val="24"/>
                <w:shd w:val="clear" w:fill="FFFFFF"/>
              </w:rPr>
            </w:pPr>
            <w:r>
              <w:rPr>
                <w:rFonts w:hint="default" w:ascii="Times New Roman" w:hAnsi="Times New Roman" w:eastAsia="方正仿宋_GBK" w:cs="Times New Roman"/>
                <w:i w:val="0"/>
                <w:iCs w:val="0"/>
                <w:snapToGrid w:val="0"/>
                <w:color w:val="000000"/>
                <w:kern w:val="0"/>
                <w:sz w:val="24"/>
                <w:szCs w:val="24"/>
                <w:u w:val="none"/>
                <w:lang w:val="en-US" w:eastAsia="zh-CN" w:bidi="ar"/>
              </w:rPr>
              <w:t>气压2-7kg/cm2，吸程7m，流量8m3/h，口径32</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3CDF">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3697">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08EED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9AFD">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sz w:val="24"/>
                <w:szCs w:val="24"/>
                <w:u w:val="none"/>
                <w:lang w:val="en-US" w:eastAsia="zh-CN" w:bidi="ar-SA"/>
              </w:rPr>
            </w:pPr>
            <w:r>
              <w:rPr>
                <w:rFonts w:hint="default" w:ascii="Times New Roman" w:hAnsi="Times New Roman" w:eastAsia="方正仿宋_GBK" w:cs="Times New Roman"/>
                <w:i w:val="0"/>
                <w:iCs w:val="0"/>
                <w:snapToGrid w:val="0"/>
                <w:color w:val="000000"/>
                <w:kern w:val="0"/>
                <w:sz w:val="24"/>
                <w:szCs w:val="24"/>
                <w:u w:val="none"/>
                <w:lang w:val="en-US" w:eastAsia="zh-CN" w:bidi="ar"/>
              </w:rPr>
              <w:t>潜水推流器</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32D4">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3</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B33A">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φ=1800mm，N=4kw，52r/min，二桨叶</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23EA">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9DEF">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0B5C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9809B">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立式桨叶搅拌机</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B690">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6</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37EE">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桨叶直径：254毫米（10英寸）。 输出转速：253 rpm。 电机功率：0.55 kW</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46AA">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1806">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2C0B1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E811">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螺杆泵</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8D244">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2</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592A">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参数：Q=8m3/h,P=0.6MPA,N=3KW.</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6EC9">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A542">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5396D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6390">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立式单级离心泵</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CCD0">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2</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6403">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流量=40m3/h,扬程=70m,功率=18.5KW</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07EC">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70BF">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53C4F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4B17">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立式单级离心泵配套控制柜</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7C19">
            <w:pPr>
              <w:jc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1</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0B02">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KQK002QB-18.5L，一对一全变频控制，</w:t>
            </w:r>
            <w:r>
              <w:rPr>
                <w:rFonts w:hint="eastAsia" w:ascii="Times New Roman" w:hAnsi="Times New Roman" w:eastAsia="方正仿宋_GBK" w:cs="Times New Roman"/>
                <w:i w:val="0"/>
                <w:iCs w:val="0"/>
                <w:snapToGrid w:val="0"/>
                <w:color w:val="000000"/>
                <w:kern w:val="0"/>
                <w:sz w:val="24"/>
                <w:szCs w:val="24"/>
                <w:u w:val="none"/>
                <w:lang w:val="en-US" w:eastAsia="zh-CN" w:bidi="ar"/>
              </w:rPr>
              <w:t>最低</w:t>
            </w:r>
            <w:r>
              <w:rPr>
                <w:rFonts w:hint="default" w:ascii="Times New Roman" w:hAnsi="Times New Roman" w:eastAsia="方正仿宋_GBK" w:cs="Times New Roman"/>
                <w:i w:val="0"/>
                <w:iCs w:val="0"/>
                <w:snapToGrid w:val="0"/>
                <w:color w:val="000000"/>
                <w:kern w:val="0"/>
                <w:sz w:val="24"/>
                <w:szCs w:val="24"/>
                <w:u w:val="none"/>
                <w:lang w:val="en-US" w:eastAsia="zh-CN" w:bidi="ar"/>
              </w:rPr>
              <w:t>国产元器件，304不锈钢户外型，配置压力传感器和远程控制接口</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BD0E">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7C62">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7B426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56BF">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移动离心式潜污泵</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4412">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1</w:t>
            </w:r>
          </w:p>
        </w:tc>
        <w:tc>
          <w:tcPr>
            <w:tcW w:w="38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B869">
            <w:pPr>
              <w:keepNext w:val="0"/>
              <w:keepLines w:val="0"/>
              <w:pageBreakBefore w:val="0"/>
              <w:widowControl/>
              <w:suppressLineNumbers w:val="0"/>
              <w:wordWrap/>
              <w:topLinePunct w:val="0"/>
              <w:bidi w:val="0"/>
              <w:spacing w:line="240" w:lineRule="auto"/>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default" w:ascii="Times New Roman" w:hAnsi="Times New Roman" w:eastAsia="方正仿宋_GBK" w:cs="Times New Roman"/>
                <w:i w:val="0"/>
                <w:iCs w:val="0"/>
                <w:snapToGrid w:val="0"/>
                <w:color w:val="000000"/>
                <w:kern w:val="0"/>
                <w:sz w:val="24"/>
                <w:szCs w:val="24"/>
                <w:u w:val="none"/>
                <w:lang w:val="en-US" w:eastAsia="zh-CN" w:bidi="ar"/>
              </w:rPr>
              <w:t>流量=150m³/h，扬程=14米，功率=11KW</w:t>
            </w:r>
            <w:r>
              <w:rPr>
                <w:rFonts w:hint="default" w:ascii="Times New Roman" w:hAnsi="Times New Roman" w:eastAsia="方正仿宋_GBK" w:cs="Times New Roman"/>
                <w:i w:val="0"/>
                <w:iCs w:val="0"/>
                <w:snapToGrid w:val="0"/>
                <w:color w:val="000000"/>
                <w:kern w:val="0"/>
                <w:sz w:val="24"/>
                <w:szCs w:val="24"/>
                <w:u w:val="none"/>
                <w:lang w:val="en-US" w:eastAsia="zh-CN" w:bidi="ar"/>
              </w:rPr>
              <w:br w:type="textWrapping"/>
            </w:r>
            <w:r>
              <w:rPr>
                <w:rFonts w:hint="default" w:ascii="Times New Roman" w:hAnsi="Times New Roman" w:eastAsia="方正仿宋_GBK" w:cs="Times New Roman"/>
                <w:i w:val="0"/>
                <w:iCs w:val="0"/>
                <w:snapToGrid w:val="0"/>
                <w:color w:val="000000"/>
                <w:kern w:val="0"/>
                <w:sz w:val="24"/>
                <w:szCs w:val="24"/>
                <w:u w:val="none"/>
                <w:lang w:val="en-US" w:eastAsia="zh-CN" w:bidi="ar"/>
              </w:rPr>
              <w:t>配套110法兰盘。</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7599">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7ABE">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r w14:paraId="1D692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1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4D929E">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r>
              <w:rPr>
                <w:rFonts w:hint="eastAsia" w:ascii="Times New Roman" w:hAnsi="Times New Roman" w:eastAsia="方正仿宋_GBK" w:cs="Times New Roman"/>
                <w:i w:val="0"/>
                <w:iCs w:val="0"/>
                <w:snapToGrid w:val="0"/>
                <w:color w:val="000000"/>
                <w:kern w:val="0"/>
                <w:sz w:val="24"/>
                <w:szCs w:val="24"/>
                <w:u w:val="none"/>
                <w:lang w:val="en-US" w:eastAsia="zh-CN" w:bidi="ar"/>
              </w:rPr>
              <w:t>合计（元）</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C4BE">
            <w:pPr>
              <w:keepNext w:val="0"/>
              <w:keepLines w:val="0"/>
              <w:widowControl/>
              <w:suppressLineNumbers w:val="0"/>
              <w:jc w:val="center"/>
              <w:textAlignment w:val="center"/>
              <w:rPr>
                <w:rFonts w:hint="default" w:ascii="Times New Roman" w:hAnsi="Times New Roman" w:eastAsia="方正仿宋_GBK" w:cs="Times New Roman"/>
                <w:i w:val="0"/>
                <w:iCs w:val="0"/>
                <w:snapToGrid w:val="0"/>
                <w:color w:val="000000"/>
                <w:kern w:val="0"/>
                <w:sz w:val="24"/>
                <w:szCs w:val="24"/>
                <w:u w:val="none"/>
                <w:lang w:val="en-US" w:eastAsia="zh-CN" w:bidi="ar"/>
              </w:rPr>
            </w:pPr>
          </w:p>
        </w:tc>
      </w:tr>
    </w:tbl>
    <w:p w14:paraId="19EF1F4D">
      <w:pPr>
        <w:ind w:right="105"/>
        <w:rPr>
          <w:rFonts w:hint="default" w:ascii="方正仿宋_GBK" w:hAnsi="方正仿宋_GBK" w:eastAsia="方正仿宋_GBK" w:cs="Times New Roman"/>
          <w:sz w:val="24"/>
          <w:szCs w:val="18"/>
          <w:lang w:val="en-US" w:eastAsia="zh-CN"/>
        </w:rPr>
      </w:pPr>
    </w:p>
    <w:p w14:paraId="56446884">
      <w:pPr>
        <w:ind w:right="105"/>
        <w:rPr>
          <w:rFonts w:hint="default" w:ascii="方正仿宋_GBK" w:hAnsi="方正仿宋_GBK" w:eastAsia="方正仿宋_GBK" w:cs="Times New Roman"/>
          <w:sz w:val="24"/>
          <w:szCs w:val="18"/>
          <w:lang w:val="en-US" w:eastAsia="zh-CN"/>
        </w:rPr>
      </w:pPr>
    </w:p>
    <w:p w14:paraId="7F620972">
      <w:pPr>
        <w:ind w:right="105"/>
        <w:rPr>
          <w:rFonts w:hint="default" w:ascii="方正仿宋_GBK" w:hAnsi="方正仿宋_GBK" w:eastAsia="方正仿宋_GBK" w:cs="Times New Roman"/>
          <w:sz w:val="24"/>
          <w:szCs w:val="18"/>
          <w:lang w:val="en-US" w:eastAsia="zh-CN"/>
        </w:rPr>
      </w:pPr>
    </w:p>
    <w:p w14:paraId="629EFFF0">
      <w:pPr>
        <w:ind w:right="105"/>
        <w:rPr>
          <w:rFonts w:hint="default" w:ascii="方正仿宋_GBK" w:hAnsi="方正仿宋_GBK" w:eastAsia="方正仿宋_GBK" w:cs="Times New Roman"/>
          <w:sz w:val="24"/>
          <w:szCs w:val="18"/>
          <w:lang w:val="en-US" w:eastAsia="zh-CN"/>
        </w:rPr>
      </w:pPr>
    </w:p>
    <w:p w14:paraId="737C41ED">
      <w:pPr>
        <w:ind w:right="105"/>
        <w:rPr>
          <w:rFonts w:hint="default" w:ascii="方正仿宋_GBK" w:hAnsi="方正仿宋_GBK" w:eastAsia="方正仿宋_GBK" w:cs="Times New Roman"/>
          <w:sz w:val="24"/>
          <w:szCs w:val="18"/>
          <w:lang w:val="en-US" w:eastAsia="zh-CN"/>
        </w:rPr>
      </w:pPr>
    </w:p>
    <w:p w14:paraId="5CD2263D">
      <w:pPr>
        <w:ind w:right="105"/>
        <w:rPr>
          <w:rFonts w:hint="default" w:ascii="方正仿宋_GBK" w:hAnsi="方正仿宋_GBK" w:eastAsia="方正仿宋_GBK" w:cs="Times New Roman"/>
          <w:sz w:val="24"/>
          <w:szCs w:val="18"/>
          <w:lang w:val="en-US" w:eastAsia="zh-CN"/>
        </w:rPr>
      </w:pPr>
    </w:p>
    <w:p w14:paraId="269020AA">
      <w:pPr>
        <w:ind w:left="105" w:right="105"/>
        <w:rPr>
          <w:rFonts w:ascii="方正仿宋_GBK" w:hAnsi="方正仿宋_GBK" w:eastAsia="方正仿宋_GBK" w:cs="Times New Roman"/>
          <w:sz w:val="28"/>
          <w:szCs w:val="20"/>
        </w:rPr>
      </w:pPr>
      <w:r>
        <w:rPr>
          <w:rFonts w:hint="eastAsia" w:ascii="方正仿宋_GBK" w:hAnsi="方正仿宋_GBK" w:eastAsia="方正仿宋_GBK" w:cs="Times New Roman"/>
          <w:sz w:val="28"/>
          <w:szCs w:val="20"/>
        </w:rPr>
        <w:t>2.</w:t>
      </w:r>
      <w:r>
        <w:rPr>
          <w:rFonts w:hint="eastAsia" w:ascii="方正仿宋_GBK" w:hAnsi="方正仿宋_GBK" w:eastAsia="方正仿宋_GBK" w:cs="Times New Roman"/>
          <w:sz w:val="28"/>
          <w:szCs w:val="20"/>
          <w:lang w:eastAsia="zh-CN"/>
        </w:rPr>
        <w:t>报价增值税构成</w:t>
      </w:r>
      <w:r>
        <w:rPr>
          <w:rFonts w:hint="eastAsia" w:ascii="方正仿宋_GBK" w:hAnsi="方正仿宋_GBK" w:eastAsia="方正仿宋_GBK" w:cs="Times New Roman"/>
          <w:sz w:val="28"/>
          <w:szCs w:val="20"/>
        </w:rPr>
        <w:t>明细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279"/>
        <w:gridCol w:w="1351"/>
        <w:gridCol w:w="1400"/>
        <w:gridCol w:w="1041"/>
        <w:gridCol w:w="1279"/>
        <w:gridCol w:w="1279"/>
      </w:tblGrid>
      <w:tr w14:paraId="4A94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93" w:type="dxa"/>
            <w:vAlign w:val="center"/>
          </w:tcPr>
          <w:p w14:paraId="0CFC60B6">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序号</w:t>
            </w:r>
          </w:p>
        </w:tc>
        <w:tc>
          <w:tcPr>
            <w:tcW w:w="1279" w:type="dxa"/>
            <w:vAlign w:val="center"/>
          </w:tcPr>
          <w:p w14:paraId="07F77044">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含税报价总额（元）</w:t>
            </w:r>
          </w:p>
        </w:tc>
        <w:tc>
          <w:tcPr>
            <w:tcW w:w="1351" w:type="dxa"/>
            <w:vAlign w:val="center"/>
          </w:tcPr>
          <w:p w14:paraId="7ECED160">
            <w:pPr>
              <w:widowControl w:val="0"/>
              <w:snapToGrid w:val="0"/>
              <w:ind w:left="105" w:leftChars="0" w:right="105" w:rightChars="0"/>
              <w:contextualSpacing/>
              <w:jc w:val="center"/>
              <w:rPr>
                <w:rFonts w:hint="eastAsia"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不含税报价总额</w:t>
            </w:r>
          </w:p>
          <w:p w14:paraId="26D6799F">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（元）</w:t>
            </w:r>
          </w:p>
        </w:tc>
        <w:tc>
          <w:tcPr>
            <w:tcW w:w="1400" w:type="dxa"/>
            <w:vAlign w:val="center"/>
          </w:tcPr>
          <w:p w14:paraId="2FA76DDB">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增值税发票类别</w:t>
            </w:r>
          </w:p>
        </w:tc>
        <w:tc>
          <w:tcPr>
            <w:tcW w:w="1041" w:type="dxa"/>
            <w:vAlign w:val="center"/>
          </w:tcPr>
          <w:p w14:paraId="6E357A2D">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税率</w:t>
            </w:r>
          </w:p>
        </w:tc>
        <w:tc>
          <w:tcPr>
            <w:tcW w:w="1279" w:type="dxa"/>
            <w:vAlign w:val="center"/>
          </w:tcPr>
          <w:p w14:paraId="53E2E4D3">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增值税金额</w:t>
            </w:r>
          </w:p>
        </w:tc>
        <w:tc>
          <w:tcPr>
            <w:tcW w:w="1279" w:type="dxa"/>
            <w:vAlign w:val="center"/>
          </w:tcPr>
          <w:p w14:paraId="2B449520">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备注</w:t>
            </w:r>
          </w:p>
        </w:tc>
      </w:tr>
      <w:tr w14:paraId="7B71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93" w:type="dxa"/>
            <w:vAlign w:val="center"/>
          </w:tcPr>
          <w:p w14:paraId="1950B9E1">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t>1</w:t>
            </w:r>
          </w:p>
        </w:tc>
        <w:tc>
          <w:tcPr>
            <w:tcW w:w="1279" w:type="dxa"/>
            <w:vAlign w:val="center"/>
          </w:tcPr>
          <w:p w14:paraId="407F5109">
            <w:pPr>
              <w:widowControl w:val="0"/>
              <w:snapToGrid w:val="0"/>
              <w:ind w:left="105" w:leftChars="0" w:right="105" w:rightChars="0"/>
              <w:contextualSpacing/>
              <w:jc w:val="center"/>
              <w:rPr>
                <w:rFonts w:ascii="方正仿宋_GBK" w:hAnsi="方正仿宋_GBK" w:eastAsia="方正仿宋_GBK" w:cs="Times New Roman"/>
                <w:kern w:val="0"/>
                <w:sz w:val="22"/>
                <w:szCs w:val="16"/>
              </w:rPr>
            </w:pPr>
          </w:p>
        </w:tc>
        <w:tc>
          <w:tcPr>
            <w:tcW w:w="1351" w:type="dxa"/>
            <w:vAlign w:val="center"/>
          </w:tcPr>
          <w:p w14:paraId="5EE43E16">
            <w:pPr>
              <w:widowControl w:val="0"/>
              <w:snapToGrid w:val="0"/>
              <w:ind w:left="105" w:leftChars="0" w:right="105" w:rightChars="0"/>
              <w:contextualSpacing/>
              <w:jc w:val="center"/>
              <w:rPr>
                <w:rFonts w:ascii="方正仿宋_GBK" w:hAnsi="方正仿宋_GBK" w:eastAsia="方正仿宋_GBK" w:cs="Times New Roman"/>
                <w:kern w:val="0"/>
                <w:sz w:val="22"/>
                <w:szCs w:val="16"/>
              </w:rPr>
            </w:pPr>
          </w:p>
        </w:tc>
        <w:tc>
          <w:tcPr>
            <w:tcW w:w="1400" w:type="dxa"/>
            <w:vAlign w:val="center"/>
          </w:tcPr>
          <w:p w14:paraId="01582EB6">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sym w:font="Wingdings" w:char="F06F"/>
            </w:r>
            <w:r>
              <w:rPr>
                <w:rFonts w:hint="eastAsia" w:ascii="方正仿宋_GBK" w:hAnsi="方正仿宋_GBK" w:eastAsia="方正仿宋_GBK" w:cs="Times New Roman"/>
                <w:kern w:val="0"/>
                <w:sz w:val="22"/>
                <w:szCs w:val="16"/>
              </w:rPr>
              <w:t>普票</w:t>
            </w:r>
          </w:p>
          <w:p w14:paraId="2F00E296">
            <w:pPr>
              <w:widowControl w:val="0"/>
              <w:snapToGrid w:val="0"/>
              <w:ind w:left="105" w:leftChars="0" w:right="105" w:rightChars="0"/>
              <w:contextualSpacing/>
              <w:jc w:val="center"/>
              <w:rPr>
                <w:rFonts w:ascii="方正仿宋_GBK" w:hAnsi="方正仿宋_GBK" w:eastAsia="方正仿宋_GBK" w:cs="Times New Roman"/>
                <w:kern w:val="0"/>
                <w:sz w:val="22"/>
                <w:szCs w:val="16"/>
              </w:rPr>
            </w:pPr>
            <w:r>
              <w:rPr>
                <w:rFonts w:hint="eastAsia" w:ascii="方正仿宋_GBK" w:hAnsi="方正仿宋_GBK" w:eastAsia="方正仿宋_GBK" w:cs="Times New Roman"/>
                <w:kern w:val="0"/>
                <w:sz w:val="22"/>
                <w:szCs w:val="16"/>
              </w:rPr>
              <w:sym w:font="Wingdings" w:char="F06F"/>
            </w:r>
            <w:r>
              <w:rPr>
                <w:rFonts w:hint="eastAsia" w:ascii="方正仿宋_GBK" w:hAnsi="方正仿宋_GBK" w:eastAsia="方正仿宋_GBK" w:cs="Times New Roman"/>
                <w:kern w:val="0"/>
                <w:sz w:val="22"/>
                <w:szCs w:val="16"/>
              </w:rPr>
              <w:t>专票</w:t>
            </w:r>
          </w:p>
        </w:tc>
        <w:tc>
          <w:tcPr>
            <w:tcW w:w="1041" w:type="dxa"/>
            <w:vAlign w:val="center"/>
          </w:tcPr>
          <w:p w14:paraId="0F1DF301">
            <w:pPr>
              <w:widowControl w:val="0"/>
              <w:snapToGrid w:val="0"/>
              <w:ind w:left="105" w:leftChars="0" w:right="105" w:rightChars="0"/>
              <w:contextualSpacing/>
              <w:jc w:val="center"/>
              <w:rPr>
                <w:rFonts w:ascii="方正仿宋_GBK" w:hAnsi="方正仿宋_GBK" w:eastAsia="方正仿宋_GBK" w:cs="Times New Roman"/>
                <w:kern w:val="0"/>
                <w:sz w:val="22"/>
                <w:szCs w:val="16"/>
              </w:rPr>
            </w:pPr>
          </w:p>
        </w:tc>
        <w:tc>
          <w:tcPr>
            <w:tcW w:w="1279" w:type="dxa"/>
            <w:vAlign w:val="center"/>
          </w:tcPr>
          <w:p w14:paraId="0D294FFC">
            <w:pPr>
              <w:widowControl w:val="0"/>
              <w:snapToGrid w:val="0"/>
              <w:ind w:left="105" w:leftChars="0" w:right="105" w:rightChars="0"/>
              <w:contextualSpacing/>
              <w:jc w:val="center"/>
              <w:rPr>
                <w:rFonts w:ascii="方正仿宋_GBK" w:hAnsi="方正仿宋_GBK" w:eastAsia="方正仿宋_GBK" w:cs="Times New Roman"/>
                <w:kern w:val="0"/>
                <w:sz w:val="22"/>
                <w:szCs w:val="16"/>
              </w:rPr>
            </w:pPr>
          </w:p>
        </w:tc>
        <w:tc>
          <w:tcPr>
            <w:tcW w:w="1279" w:type="dxa"/>
            <w:vAlign w:val="center"/>
          </w:tcPr>
          <w:p w14:paraId="5689C49A">
            <w:pPr>
              <w:widowControl w:val="0"/>
              <w:snapToGrid w:val="0"/>
              <w:ind w:left="105" w:leftChars="0" w:right="105" w:rightChars="0"/>
              <w:contextualSpacing/>
              <w:jc w:val="center"/>
              <w:rPr>
                <w:rFonts w:ascii="方正仿宋_GBK" w:hAnsi="方正仿宋_GBK" w:eastAsia="方正仿宋_GBK" w:cs="Times New Roman"/>
                <w:kern w:val="0"/>
                <w:sz w:val="22"/>
                <w:szCs w:val="16"/>
              </w:rPr>
            </w:pPr>
          </w:p>
        </w:tc>
      </w:tr>
    </w:tbl>
    <w:p w14:paraId="68A8FA43">
      <w:pPr>
        <w:pStyle w:val="6"/>
        <w:rPr>
          <w:rFonts w:hint="eastAsia" w:ascii="方正仿宋_GBK" w:hAnsi="方正仿宋_GBK" w:eastAsia="方正仿宋_GBK" w:cs="Times New Roman"/>
          <w:snapToGrid w:val="0"/>
          <w:color w:val="000000"/>
          <w:kern w:val="0"/>
          <w:sz w:val="28"/>
          <w:szCs w:val="20"/>
        </w:rPr>
      </w:pPr>
      <w:r>
        <w:rPr>
          <w:rFonts w:hint="eastAsia" w:ascii="方正仿宋_GBK" w:hAnsi="方正仿宋_GBK" w:eastAsia="方正仿宋_GBK" w:cs="Times New Roman"/>
          <w:snapToGrid w:val="0"/>
          <w:color w:val="000000"/>
          <w:kern w:val="0"/>
          <w:sz w:val="28"/>
          <w:szCs w:val="20"/>
        </w:rPr>
        <w:t>备注：不含税金额=含税金额/（1+税率）；</w:t>
      </w:r>
    </w:p>
    <w:p w14:paraId="111E2C8D">
      <w:pPr>
        <w:pStyle w:val="6"/>
        <w:rPr>
          <w:rFonts w:hint="eastAsia" w:ascii="方正仿宋_GBK" w:hAnsi="方正仿宋_GBK" w:eastAsia="方正仿宋_GBK" w:cs="Times New Roman"/>
          <w:snapToGrid w:val="0"/>
          <w:color w:val="000000"/>
          <w:kern w:val="0"/>
          <w:sz w:val="28"/>
          <w:szCs w:val="20"/>
          <w:lang w:val="en-US" w:eastAsia="zh-CN"/>
        </w:rPr>
      </w:pPr>
      <w:r>
        <w:rPr>
          <w:rFonts w:hint="eastAsia" w:ascii="方正仿宋_GBK" w:hAnsi="方正仿宋_GBK" w:eastAsia="方正仿宋_GBK" w:cs="Times New Roman"/>
          <w:snapToGrid w:val="0"/>
          <w:color w:val="000000"/>
          <w:kern w:val="0"/>
          <w:sz w:val="28"/>
          <w:szCs w:val="20"/>
        </w:rPr>
        <w:t xml:space="preserve">      含税报价总额=不含税报价总额+增值税金额。</w:t>
      </w:r>
    </w:p>
    <w:p w14:paraId="17648E13">
      <w:pPr>
        <w:rPr>
          <w:rFonts w:hint="eastAsia"/>
          <w:color w:val="auto"/>
          <w:lang w:val="en-US" w:eastAsia="zh-CN"/>
        </w:rPr>
      </w:pPr>
    </w:p>
    <w:p w14:paraId="7367C302">
      <w:pPr>
        <w:pStyle w:val="6"/>
        <w:rPr>
          <w:rFonts w:hint="eastAsia"/>
          <w:color w:val="auto"/>
          <w:lang w:val="en-US" w:eastAsia="zh-CN"/>
        </w:rPr>
      </w:pPr>
    </w:p>
    <w:p w14:paraId="611A71F6">
      <w:pPr>
        <w:rPr>
          <w:rFonts w:hint="eastAsia"/>
          <w:color w:val="auto"/>
          <w:lang w:val="en-US" w:eastAsia="zh-CN"/>
        </w:rPr>
      </w:pPr>
    </w:p>
    <w:p w14:paraId="4FC1CD7C">
      <w:pPr>
        <w:rPr>
          <w:rFonts w:hint="eastAsia"/>
          <w:color w:val="auto"/>
          <w:lang w:val="en-US" w:eastAsia="zh-CN"/>
        </w:rPr>
      </w:pPr>
    </w:p>
    <w:p w14:paraId="30FCD17F">
      <w:pPr>
        <w:rPr>
          <w:rFonts w:hint="eastAsia"/>
          <w:color w:val="auto"/>
          <w:lang w:val="en-US" w:eastAsia="zh-CN"/>
        </w:rPr>
      </w:pPr>
    </w:p>
    <w:p w14:paraId="3D9B99DA">
      <w:pPr>
        <w:rPr>
          <w:rFonts w:hint="eastAsia"/>
          <w:color w:val="auto"/>
          <w:lang w:val="en-US" w:eastAsia="zh-CN"/>
        </w:rPr>
      </w:pPr>
    </w:p>
    <w:p w14:paraId="449FFF08">
      <w:pPr>
        <w:rPr>
          <w:rFonts w:hint="eastAsia"/>
          <w:color w:val="auto"/>
          <w:lang w:val="en-US" w:eastAsia="zh-CN"/>
        </w:rPr>
      </w:pPr>
    </w:p>
    <w:p w14:paraId="24F5BC80">
      <w:pPr>
        <w:rPr>
          <w:rFonts w:hint="eastAsia"/>
          <w:color w:val="auto"/>
          <w:lang w:val="en-US" w:eastAsia="zh-CN"/>
        </w:rPr>
      </w:pPr>
    </w:p>
    <w:p w14:paraId="502476FB">
      <w:pPr>
        <w:rPr>
          <w:rFonts w:hint="eastAsia"/>
          <w:color w:val="auto"/>
          <w:lang w:val="en-US" w:eastAsia="zh-CN"/>
        </w:rPr>
      </w:pPr>
    </w:p>
    <w:p w14:paraId="5F3810EC">
      <w:pPr>
        <w:rPr>
          <w:rFonts w:hint="eastAsia"/>
          <w:color w:val="auto"/>
          <w:lang w:val="en-US" w:eastAsia="zh-CN"/>
        </w:rPr>
      </w:pPr>
    </w:p>
    <w:p w14:paraId="7D5C6235">
      <w:pPr>
        <w:rPr>
          <w:rFonts w:hint="eastAsia"/>
          <w:color w:val="auto"/>
          <w:lang w:val="en-US" w:eastAsia="zh-CN"/>
        </w:rPr>
      </w:pPr>
    </w:p>
    <w:p w14:paraId="09DEAB16">
      <w:pPr>
        <w:rPr>
          <w:rFonts w:hint="eastAsia"/>
          <w:color w:val="auto"/>
          <w:lang w:val="en-US" w:eastAsia="zh-CN"/>
        </w:rPr>
      </w:pPr>
    </w:p>
    <w:p w14:paraId="3E1804D4">
      <w:pPr>
        <w:rPr>
          <w:rFonts w:hint="eastAsia"/>
          <w:color w:val="auto"/>
          <w:lang w:val="en-US" w:eastAsia="zh-CN"/>
        </w:rPr>
      </w:pPr>
    </w:p>
    <w:p w14:paraId="2AB21ABC">
      <w:pPr>
        <w:rPr>
          <w:rFonts w:hint="eastAsia"/>
          <w:color w:val="auto"/>
          <w:lang w:val="en-US" w:eastAsia="zh-CN"/>
        </w:rPr>
      </w:pPr>
    </w:p>
    <w:p w14:paraId="63088FF4">
      <w:pPr>
        <w:rPr>
          <w:rFonts w:hint="eastAsia"/>
          <w:color w:val="auto"/>
          <w:lang w:val="en-US" w:eastAsia="zh-CN"/>
        </w:rPr>
      </w:pPr>
    </w:p>
    <w:p w14:paraId="5676F6CC">
      <w:pPr>
        <w:rPr>
          <w:rFonts w:hint="eastAsia"/>
          <w:color w:val="auto"/>
          <w:lang w:val="en-US" w:eastAsia="zh-CN"/>
        </w:rPr>
      </w:pPr>
    </w:p>
    <w:p w14:paraId="77132FBC">
      <w:pPr>
        <w:rPr>
          <w:rFonts w:hint="eastAsia"/>
          <w:color w:val="auto"/>
          <w:lang w:val="en-US" w:eastAsia="zh-CN"/>
        </w:rPr>
      </w:pPr>
    </w:p>
    <w:p w14:paraId="2BC9734C">
      <w:pPr>
        <w:rPr>
          <w:rFonts w:hint="eastAsia"/>
          <w:color w:val="auto"/>
          <w:lang w:val="en-US" w:eastAsia="zh-CN"/>
        </w:rPr>
      </w:pPr>
    </w:p>
    <w:p w14:paraId="55978EB9">
      <w:pPr>
        <w:rPr>
          <w:rFonts w:hint="eastAsia"/>
          <w:color w:val="auto"/>
          <w:lang w:val="en-US" w:eastAsia="zh-CN"/>
        </w:rPr>
      </w:pPr>
    </w:p>
    <w:p w14:paraId="6E904B7F">
      <w:pPr>
        <w:spacing w:line="480" w:lineRule="auto"/>
        <w:jc w:val="center"/>
        <w:rPr>
          <w:rFonts w:hint="eastAsia" w:ascii="方正仿宋_GB2312" w:hAnsi="方正仿宋_GB2312" w:eastAsia="方正仿宋_GB2312" w:cs="方正仿宋_GB2312"/>
          <w:color w:val="auto"/>
          <w:sz w:val="21"/>
          <w:szCs w:val="21"/>
          <w:lang w:eastAsia="zh-CN"/>
        </w:rPr>
      </w:pPr>
    </w:p>
    <w:p w14:paraId="2E02C409">
      <w:pPr>
        <w:widowControl w:val="0"/>
        <w:tabs>
          <w:tab w:val="left" w:pos="1680"/>
          <w:tab w:val="left" w:pos="4215"/>
          <w:tab w:val="left" w:pos="4305"/>
          <w:tab w:val="left" w:pos="8000"/>
        </w:tabs>
        <w:kinsoku/>
        <w:autoSpaceDE/>
        <w:autoSpaceDN/>
        <w:adjustRightInd/>
        <w:snapToGrid/>
        <w:spacing w:line="360" w:lineRule="auto"/>
        <w:ind w:left="105" w:leftChars="50" w:right="105" w:rightChars="50"/>
        <w:jc w:val="center"/>
        <w:textAlignment w:val="auto"/>
        <w:outlineLvl w:val="2"/>
        <w:rPr>
          <w:rFonts w:hint="eastAsia" w:ascii="方正仿宋_GBK" w:hAnsi="方正仿宋_GBK" w:eastAsia="方正仿宋_GBK" w:cs="Times New Roman"/>
          <w:b/>
          <w:bCs/>
          <w:snapToGrid/>
          <w:kern w:val="2"/>
          <w:sz w:val="32"/>
          <w:szCs w:val="32"/>
          <w:highlight w:val="none"/>
          <w:lang w:val="en-US" w:eastAsia="zh-CN" w:bidi="ar-SA"/>
        </w:rPr>
      </w:pPr>
      <w:r>
        <w:rPr>
          <w:rFonts w:hint="eastAsia" w:ascii="方正仿宋_GBK" w:hAnsi="方正仿宋_GBK" w:eastAsia="方正仿宋_GBK" w:cs="Times New Roman"/>
          <w:b/>
          <w:bCs/>
          <w:snapToGrid/>
          <w:kern w:val="2"/>
          <w:sz w:val="32"/>
          <w:szCs w:val="32"/>
          <w:highlight w:val="none"/>
          <w:lang w:val="en-US" w:eastAsia="zh-CN" w:bidi="ar-SA"/>
        </w:rPr>
        <w:t>（三）法定代表人身份证明</w:t>
      </w:r>
    </w:p>
    <w:p w14:paraId="53E8CDA2">
      <w:pPr>
        <w:spacing w:line="460" w:lineRule="exact"/>
        <w:ind w:firstLine="480" w:firstLineChars="200"/>
        <w:rPr>
          <w:rFonts w:hint="eastAsia" w:ascii="方正仿宋_GBK" w:hAnsi="方正仿宋_GBK" w:eastAsia="方正仿宋_GBK" w:cs="方正仿宋_GBK"/>
          <w:sz w:val="24"/>
          <w:szCs w:val="24"/>
          <w:highlight w:val="none"/>
          <w:u w:val="single"/>
        </w:rPr>
      </w:pPr>
      <w:r>
        <w:rPr>
          <w:rFonts w:hint="eastAsia" w:ascii="方正仿宋_GBK" w:hAnsi="方正仿宋_GBK" w:eastAsia="方正仿宋_GBK" w:cs="方正仿宋_GBK"/>
          <w:sz w:val="24"/>
          <w:szCs w:val="24"/>
          <w:highlight w:val="none"/>
        </w:rPr>
        <w:t>竞选人名称：</w:t>
      </w:r>
      <w:r>
        <w:rPr>
          <w:rFonts w:hint="eastAsia" w:ascii="方正仿宋_GBK" w:hAnsi="方正仿宋_GBK" w:eastAsia="方正仿宋_GBK" w:cs="方正仿宋_GBK"/>
          <w:sz w:val="24"/>
          <w:szCs w:val="24"/>
          <w:highlight w:val="none"/>
          <w:u w:val="single"/>
        </w:rPr>
        <w:t xml:space="preserve">                          </w:t>
      </w:r>
    </w:p>
    <w:p w14:paraId="54657F42">
      <w:pPr>
        <w:spacing w:line="460" w:lineRule="exact"/>
        <w:ind w:firstLine="480" w:firstLineChars="200"/>
        <w:rPr>
          <w:rFonts w:hint="eastAsia" w:ascii="方正仿宋_GBK" w:hAnsi="方正仿宋_GBK" w:eastAsia="方正仿宋_GBK" w:cs="方正仿宋_GBK"/>
          <w:sz w:val="24"/>
          <w:szCs w:val="24"/>
          <w:highlight w:val="none"/>
          <w:u w:val="single"/>
        </w:rPr>
      </w:pPr>
      <w:r>
        <w:rPr>
          <w:rFonts w:hint="eastAsia" w:ascii="方正仿宋_GBK" w:hAnsi="方正仿宋_GBK" w:eastAsia="方正仿宋_GBK" w:cs="方正仿宋_GBK"/>
          <w:sz w:val="24"/>
          <w:szCs w:val="24"/>
          <w:highlight w:val="none"/>
        </w:rPr>
        <w:t>单 位 性质：</w:t>
      </w:r>
      <w:r>
        <w:rPr>
          <w:rFonts w:hint="eastAsia" w:ascii="方正仿宋_GBK" w:hAnsi="方正仿宋_GBK" w:eastAsia="方正仿宋_GBK" w:cs="方正仿宋_GBK"/>
          <w:sz w:val="24"/>
          <w:szCs w:val="24"/>
          <w:highlight w:val="none"/>
          <w:u w:val="single"/>
        </w:rPr>
        <w:t xml:space="preserve">                          </w:t>
      </w:r>
    </w:p>
    <w:p w14:paraId="33204AC2">
      <w:pPr>
        <w:spacing w:line="460" w:lineRule="exact"/>
        <w:ind w:firstLine="480" w:firstLineChars="200"/>
        <w:rPr>
          <w:rFonts w:hint="eastAsia" w:ascii="方正仿宋_GBK" w:hAnsi="方正仿宋_GBK" w:eastAsia="方正仿宋_GBK" w:cs="方正仿宋_GBK"/>
          <w:sz w:val="24"/>
          <w:szCs w:val="24"/>
          <w:highlight w:val="none"/>
          <w:u w:val="single"/>
        </w:rPr>
      </w:pPr>
      <w:r>
        <w:rPr>
          <w:rFonts w:hint="eastAsia" w:ascii="方正仿宋_GBK" w:hAnsi="方正仿宋_GBK" w:eastAsia="方正仿宋_GBK" w:cs="方正仿宋_GBK"/>
          <w:sz w:val="24"/>
          <w:szCs w:val="24"/>
          <w:highlight w:val="none"/>
        </w:rPr>
        <w:t>地      址：</w:t>
      </w:r>
      <w:r>
        <w:rPr>
          <w:rFonts w:hint="eastAsia" w:ascii="方正仿宋_GBK" w:hAnsi="方正仿宋_GBK" w:eastAsia="方正仿宋_GBK" w:cs="方正仿宋_GBK"/>
          <w:sz w:val="24"/>
          <w:szCs w:val="24"/>
          <w:highlight w:val="none"/>
          <w:u w:val="single"/>
        </w:rPr>
        <w:t xml:space="preserve">                          </w:t>
      </w:r>
    </w:p>
    <w:p w14:paraId="3E95BFE5">
      <w:pPr>
        <w:spacing w:line="46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成 立时 间：</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年</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月</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日</w:t>
      </w:r>
    </w:p>
    <w:p w14:paraId="30870AC9">
      <w:pPr>
        <w:spacing w:line="460" w:lineRule="exact"/>
        <w:ind w:firstLine="480" w:firstLineChars="200"/>
        <w:rPr>
          <w:rFonts w:hint="eastAsia" w:ascii="方正仿宋_GBK" w:hAnsi="方正仿宋_GBK" w:eastAsia="方正仿宋_GBK" w:cs="方正仿宋_GBK"/>
          <w:sz w:val="24"/>
          <w:szCs w:val="24"/>
          <w:highlight w:val="none"/>
          <w:u w:val="single"/>
        </w:rPr>
      </w:pPr>
      <w:r>
        <w:rPr>
          <w:rFonts w:hint="eastAsia" w:ascii="方正仿宋_GBK" w:hAnsi="方正仿宋_GBK" w:eastAsia="方正仿宋_GBK" w:cs="方正仿宋_GBK"/>
          <w:sz w:val="24"/>
          <w:szCs w:val="24"/>
          <w:highlight w:val="none"/>
        </w:rPr>
        <w:t>经 营期 限：</w:t>
      </w:r>
      <w:r>
        <w:rPr>
          <w:rFonts w:hint="eastAsia" w:ascii="方正仿宋_GBK" w:hAnsi="方正仿宋_GBK" w:eastAsia="方正仿宋_GBK" w:cs="方正仿宋_GBK"/>
          <w:sz w:val="24"/>
          <w:szCs w:val="24"/>
          <w:highlight w:val="none"/>
          <w:u w:val="single"/>
        </w:rPr>
        <w:t xml:space="preserve">                          </w:t>
      </w:r>
    </w:p>
    <w:p w14:paraId="3CADFB49">
      <w:pPr>
        <w:spacing w:line="460" w:lineRule="exact"/>
        <w:ind w:firstLine="480" w:firstLineChars="200"/>
        <w:rPr>
          <w:rFonts w:hint="eastAsia" w:ascii="方正仿宋_GBK" w:hAnsi="方正仿宋_GBK" w:eastAsia="方正仿宋_GBK" w:cs="方正仿宋_GBK"/>
          <w:sz w:val="24"/>
          <w:szCs w:val="24"/>
          <w:highlight w:val="none"/>
          <w:u w:val="single"/>
        </w:rPr>
      </w:pPr>
      <w:r>
        <w:rPr>
          <w:rFonts w:hint="eastAsia" w:ascii="方正仿宋_GBK" w:hAnsi="方正仿宋_GBK" w:eastAsia="方正仿宋_GBK" w:cs="方正仿宋_GBK"/>
          <w:sz w:val="24"/>
          <w:szCs w:val="24"/>
          <w:highlight w:val="none"/>
        </w:rPr>
        <w:t>姓名：</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性别：</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年龄：</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职务：</w:t>
      </w:r>
      <w:r>
        <w:rPr>
          <w:rFonts w:hint="eastAsia" w:ascii="方正仿宋_GBK" w:hAnsi="方正仿宋_GBK" w:eastAsia="方正仿宋_GBK" w:cs="方正仿宋_GBK"/>
          <w:sz w:val="24"/>
          <w:szCs w:val="24"/>
          <w:highlight w:val="none"/>
          <w:u w:val="single"/>
        </w:rPr>
        <w:t xml:space="preserve">          </w:t>
      </w:r>
    </w:p>
    <w:p w14:paraId="1DBC98A6">
      <w:pPr>
        <w:spacing w:line="46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系</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（竞选人名称）的法定代表人。</w:t>
      </w:r>
    </w:p>
    <w:p w14:paraId="6B8C0CCD">
      <w:pPr>
        <w:spacing w:line="46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特此证明</w:t>
      </w:r>
    </w:p>
    <w:p w14:paraId="5D813E76">
      <w:pPr>
        <w:spacing w:line="460" w:lineRule="exact"/>
        <w:ind w:firstLine="480" w:firstLineChars="200"/>
        <w:rPr>
          <w:rFonts w:hint="eastAsia" w:ascii="方正仿宋_GBK" w:hAnsi="方正仿宋_GBK" w:eastAsia="方正仿宋_GBK" w:cs="方正仿宋_GBK"/>
          <w:sz w:val="24"/>
          <w:szCs w:val="24"/>
          <w:highlight w:val="none"/>
        </w:rPr>
      </w:pPr>
    </w:p>
    <w:p w14:paraId="04BCC6DE">
      <w:pPr>
        <w:spacing w:line="440" w:lineRule="exact"/>
        <w:rPr>
          <w:rFonts w:hint="eastAsia" w:ascii="仿宋" w:hAnsi="仿宋" w:eastAsia="仿宋" w:cs="仿宋"/>
          <w:color w:val="auto"/>
          <w:highlight w:val="none"/>
        </w:rPr>
      </w:pPr>
      <w:r>
        <w:rPr>
          <w:rFonts w:hint="eastAsia" w:ascii="方正仿宋_GBK" w:hAnsi="方正仿宋_GBK" w:eastAsia="方正仿宋_GBK" w:cs="方正仿宋_GBK"/>
          <w:sz w:val="24"/>
          <w:szCs w:val="24"/>
          <w:highlight w:val="none"/>
        </w:rPr>
        <w:t xml:space="preserve"> </w:t>
      </w:r>
      <w:r>
        <w:rPr>
          <w:rFonts w:hint="eastAsia" w:ascii="仿宋" w:hAnsi="仿宋" w:eastAsia="仿宋" w:cs="仿宋"/>
          <w:color w:val="auto"/>
          <w:highlight w:val="none"/>
        </w:rPr>
        <w:t>附：法定代表人（单位负责人）身份证复印件。</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52"/>
      </w:tblGrid>
      <w:tr w14:paraId="0822D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3" w:hRule="atLeast"/>
          <w:jc w:val="center"/>
        </w:trPr>
        <w:tc>
          <w:tcPr>
            <w:tcW w:w="8652" w:type="dxa"/>
            <w:noWrap w:val="0"/>
            <w:vAlign w:val="top"/>
          </w:tcPr>
          <w:p w14:paraId="420004D7">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法定代表人（单位负责人）身份证复印件</w:t>
            </w:r>
          </w:p>
          <w:p w14:paraId="6A136B6E">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（双面）</w:t>
            </w:r>
          </w:p>
        </w:tc>
      </w:tr>
    </w:tbl>
    <w:p w14:paraId="02D2E0A4">
      <w:pPr>
        <w:spacing w:line="460" w:lineRule="exact"/>
        <w:ind w:firstLine="480" w:firstLineChars="200"/>
        <w:rPr>
          <w:rFonts w:hint="eastAsia" w:ascii="方正仿宋_GBK" w:hAnsi="方正仿宋_GBK" w:eastAsia="方正仿宋_GBK" w:cs="方正仿宋_GBK"/>
          <w:sz w:val="24"/>
          <w:szCs w:val="24"/>
          <w:highlight w:val="none"/>
        </w:rPr>
      </w:pPr>
    </w:p>
    <w:p w14:paraId="08246E59">
      <w:pPr>
        <w:spacing w:line="46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p>
    <w:p w14:paraId="526C13B3">
      <w:pPr>
        <w:spacing w:line="46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竞选人：</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（盖单位法人公章）</w:t>
      </w:r>
    </w:p>
    <w:p w14:paraId="56B239B7">
      <w:pPr>
        <w:spacing w:line="46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年</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月</w:t>
      </w:r>
      <w:r>
        <w:rPr>
          <w:rFonts w:hint="eastAsia" w:ascii="方正仿宋_GBK" w:hAnsi="方正仿宋_GBK" w:eastAsia="方正仿宋_GBK" w:cs="方正仿宋_GBK"/>
          <w:sz w:val="24"/>
          <w:szCs w:val="24"/>
          <w:highlight w:val="none"/>
          <w:u w:val="single"/>
        </w:rPr>
        <w:t xml:space="preserve">        </w:t>
      </w:r>
      <w:r>
        <w:rPr>
          <w:rFonts w:hint="eastAsia" w:ascii="方正仿宋_GBK" w:hAnsi="方正仿宋_GBK" w:eastAsia="方正仿宋_GBK" w:cs="方正仿宋_GBK"/>
          <w:sz w:val="24"/>
          <w:szCs w:val="24"/>
          <w:highlight w:val="none"/>
        </w:rPr>
        <w:t>日</w:t>
      </w:r>
    </w:p>
    <w:p w14:paraId="65EFFEF3">
      <w:pPr>
        <w:spacing w:line="46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p>
    <w:p w14:paraId="0B549141">
      <w:pPr>
        <w:spacing w:line="460" w:lineRule="exact"/>
        <w:ind w:firstLine="42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Cs w:val="21"/>
          <w:highlight w:val="none"/>
        </w:rPr>
        <w:drawing>
          <wp:inline distT="0" distB="0" distL="114300" distR="114300">
            <wp:extent cx="4013200" cy="63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4013200" cy="6350"/>
                    </a:xfrm>
                    <a:prstGeom prst="rect">
                      <a:avLst/>
                    </a:prstGeom>
                    <a:noFill/>
                    <a:ln>
                      <a:noFill/>
                    </a:ln>
                  </pic:spPr>
                </pic:pic>
              </a:graphicData>
            </a:graphic>
          </wp:inline>
        </w:drawing>
      </w:r>
      <w:r>
        <w:rPr>
          <w:rFonts w:hint="eastAsia" w:ascii="方正仿宋_GBK" w:hAnsi="方正仿宋_GBK" w:eastAsia="方正仿宋_GBK" w:cs="方正仿宋_GBK"/>
          <w:sz w:val="24"/>
          <w:szCs w:val="24"/>
          <w:highlight w:val="none"/>
        </w:rPr>
        <w:t xml:space="preserve"> </w:t>
      </w:r>
    </w:p>
    <w:p w14:paraId="707094E3">
      <w:pPr>
        <w:spacing w:line="46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注：法定代表身份证明需按上述格式填写完整，不可缺少内容。在此基础上增加内容的不影响有效性。</w:t>
      </w:r>
    </w:p>
    <w:p w14:paraId="541668D2">
      <w:pPr>
        <w:autoSpaceDE w:val="0"/>
        <w:autoSpaceDN w:val="0"/>
        <w:adjustRightInd w:val="0"/>
        <w:snapToGrid w:val="0"/>
        <w:spacing w:line="360" w:lineRule="auto"/>
        <w:jc w:val="left"/>
        <w:rPr>
          <w:rFonts w:ascii="宋体" w:hAnsi="宋体"/>
          <w:color w:val="auto"/>
          <w:kern w:val="0"/>
        </w:rPr>
      </w:pPr>
    </w:p>
    <w:p w14:paraId="2DDF3383">
      <w:pPr>
        <w:autoSpaceDE w:val="0"/>
        <w:autoSpaceDN w:val="0"/>
        <w:adjustRightInd w:val="0"/>
        <w:snapToGrid w:val="0"/>
        <w:spacing w:line="360" w:lineRule="auto"/>
        <w:jc w:val="left"/>
        <w:rPr>
          <w:rFonts w:ascii="宋体" w:hAnsi="宋体"/>
          <w:color w:val="auto"/>
          <w:kern w:val="0"/>
        </w:rPr>
      </w:pPr>
    </w:p>
    <w:p w14:paraId="5FA9FCE0">
      <w:pPr>
        <w:widowControl w:val="0"/>
        <w:tabs>
          <w:tab w:val="left" w:pos="1680"/>
          <w:tab w:val="left" w:pos="4215"/>
          <w:tab w:val="left" w:pos="4305"/>
          <w:tab w:val="left" w:pos="8000"/>
        </w:tabs>
        <w:kinsoku/>
        <w:autoSpaceDE/>
        <w:autoSpaceDN/>
        <w:adjustRightInd/>
        <w:snapToGrid/>
        <w:spacing w:line="360" w:lineRule="auto"/>
        <w:ind w:left="105" w:leftChars="50" w:right="105" w:rightChars="50"/>
        <w:jc w:val="center"/>
        <w:textAlignment w:val="auto"/>
        <w:outlineLvl w:val="2"/>
        <w:rPr>
          <w:rFonts w:hint="eastAsia" w:ascii="宋体" w:hAnsi="宋体" w:eastAsia="宋体" w:cs="宋体"/>
          <w:snapToGrid w:val="0"/>
          <w:color w:val="auto"/>
          <w:kern w:val="0"/>
          <w:sz w:val="28"/>
          <w:szCs w:val="28"/>
        </w:rPr>
      </w:pPr>
      <w:r>
        <w:rPr>
          <w:rFonts w:ascii="宋体" w:hAnsi="宋体"/>
          <w:b/>
          <w:color w:val="auto"/>
          <w:kern w:val="0"/>
          <w:sz w:val="28"/>
          <w:szCs w:val="28"/>
        </w:rPr>
        <w:br w:type="page"/>
      </w:r>
      <w:bookmarkStart w:id="244" w:name="_Toc9052"/>
      <w:r>
        <w:rPr>
          <w:rFonts w:hint="eastAsia" w:ascii="方正仿宋_GBK" w:hAnsi="方正仿宋_GBK" w:eastAsia="方正仿宋_GBK" w:cs="Times New Roman"/>
          <w:b/>
          <w:bCs/>
          <w:snapToGrid/>
          <w:kern w:val="2"/>
          <w:sz w:val="32"/>
          <w:szCs w:val="32"/>
          <w:highlight w:val="none"/>
          <w:lang w:val="en-US" w:eastAsia="zh-CN" w:bidi="ar-SA"/>
        </w:rPr>
        <w:t>（四）</w:t>
      </w:r>
      <w:bookmarkEnd w:id="244"/>
      <w:r>
        <w:rPr>
          <w:rFonts w:hint="eastAsia" w:ascii="方正仿宋_GBK" w:hAnsi="方正仿宋_GBK" w:eastAsia="方正仿宋_GBK" w:cs="Times New Roman"/>
          <w:b/>
          <w:bCs/>
          <w:snapToGrid/>
          <w:kern w:val="2"/>
          <w:sz w:val="32"/>
          <w:szCs w:val="32"/>
          <w:highlight w:val="none"/>
          <w:lang w:val="en-US" w:eastAsia="zh-CN" w:bidi="ar-SA"/>
        </w:rPr>
        <w:t>授权委托书</w:t>
      </w:r>
    </w:p>
    <w:p w14:paraId="3F3BAA0A">
      <w:pPr>
        <w:keepNext w:val="0"/>
        <w:keepLines w:val="0"/>
        <w:pageBreakBefore w:val="0"/>
        <w:widowControl/>
        <w:tabs>
          <w:tab w:val="left" w:pos="1680"/>
          <w:tab w:val="left" w:pos="4215"/>
          <w:tab w:val="left" w:pos="4305"/>
          <w:tab w:val="left" w:pos="8000"/>
        </w:tabs>
        <w:kinsoku w:val="0"/>
        <w:overflowPunct/>
        <w:topLinePunct w:val="0"/>
        <w:autoSpaceDE w:val="0"/>
        <w:autoSpaceDN w:val="0"/>
        <w:bidi w:val="0"/>
        <w:adjustRightInd w:val="0"/>
        <w:snapToGrid w:val="0"/>
        <w:spacing w:line="240" w:lineRule="auto"/>
        <w:jc w:val="center"/>
        <w:textAlignment w:val="baseline"/>
        <w:outlineLvl w:val="2"/>
        <w:rPr>
          <w:rFonts w:ascii="宋体" w:hAnsi="宋体"/>
          <w:b w:val="0"/>
          <w:bCs/>
          <w:color w:val="auto"/>
          <w:kern w:val="0"/>
          <w:sz w:val="28"/>
          <w:szCs w:val="28"/>
        </w:rPr>
      </w:pPr>
    </w:p>
    <w:p w14:paraId="3E227858">
      <w:pPr>
        <w:spacing w:line="460" w:lineRule="exact"/>
        <w:ind w:firstLine="420" w:firstLineChars="20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本人</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（姓名）系</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（竞选单位名称）的法定代表人，现委托</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（姓名）为我方代理人。代理人根据授权，以我方名义签署、澄清、说明、补正、递交、撤回、修改</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（项目名称）</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标段施工竞选文件、签订合同和处理有关事宜，其法律后果由我方承担。</w:t>
      </w:r>
    </w:p>
    <w:p w14:paraId="67A21779">
      <w:pPr>
        <w:spacing w:line="460" w:lineRule="exact"/>
        <w:ind w:firstLine="420" w:firstLineChars="20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委托期限：</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w:t>
      </w:r>
    </w:p>
    <w:p w14:paraId="63094F99">
      <w:pPr>
        <w:spacing w:line="460" w:lineRule="exact"/>
        <w:ind w:firstLine="420" w:firstLineChars="20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代理人无转委托权。</w:t>
      </w:r>
    </w:p>
    <w:p w14:paraId="7832DAA6">
      <w:pPr>
        <w:spacing w:line="460" w:lineRule="exact"/>
        <w:ind w:firstLine="420" w:firstLineChars="20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附：法定代表人和代理人的身份复印件。</w:t>
      </w:r>
    </w:p>
    <w:p w14:paraId="0F4DBA65">
      <w:pPr>
        <w:spacing w:line="460" w:lineRule="exact"/>
        <w:ind w:firstLine="500" w:firstLineChars="200"/>
        <w:rPr>
          <w:rFonts w:hint="eastAsia" w:ascii="方正仿宋_GBK" w:hAnsi="方正仿宋_GBK" w:eastAsia="方正仿宋_GBK" w:cs="方正仿宋_GBK"/>
          <w:spacing w:val="20"/>
          <w:szCs w:val="21"/>
          <w:highlight w:val="none"/>
        </w:rPr>
      </w:pPr>
      <w:r>
        <w:rPr>
          <w:rFonts w:hint="eastAsia" w:ascii="方正仿宋_GBK" w:hAnsi="方正仿宋_GBK" w:eastAsia="方正仿宋_GBK" w:cs="方正仿宋_GBK"/>
          <w:spacing w:val="20"/>
          <w:szCs w:val="21"/>
          <w:highlight w:val="none"/>
        </w:rPr>
        <w:t xml:space="preserve"> </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6"/>
        <w:gridCol w:w="4326"/>
      </w:tblGrid>
      <w:tr w14:paraId="4839F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3" w:hRule="atLeast"/>
          <w:jc w:val="center"/>
        </w:trPr>
        <w:tc>
          <w:tcPr>
            <w:tcW w:w="4326" w:type="dxa"/>
            <w:noWrap w:val="0"/>
            <w:vAlign w:val="top"/>
          </w:tcPr>
          <w:p w14:paraId="7B9DAFB4">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法定代表人（单位负责人）身份证复印件</w:t>
            </w:r>
          </w:p>
          <w:p w14:paraId="42BC5A52">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（双面）</w:t>
            </w:r>
          </w:p>
        </w:tc>
        <w:tc>
          <w:tcPr>
            <w:tcW w:w="4326" w:type="dxa"/>
            <w:noWrap w:val="0"/>
            <w:vAlign w:val="top"/>
          </w:tcPr>
          <w:p w14:paraId="32F69841">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委托代理人身份证复印件</w:t>
            </w:r>
          </w:p>
          <w:p w14:paraId="5E0514F1">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（双面）</w:t>
            </w:r>
          </w:p>
        </w:tc>
      </w:tr>
    </w:tbl>
    <w:p w14:paraId="4FEBB37E">
      <w:pPr>
        <w:spacing w:line="440" w:lineRule="exact"/>
        <w:rPr>
          <w:rFonts w:hint="eastAsia" w:ascii="仿宋" w:hAnsi="仿宋" w:eastAsia="仿宋" w:cs="仿宋"/>
          <w:color w:val="auto"/>
          <w:highlight w:val="none"/>
        </w:rPr>
      </w:pPr>
      <w:r>
        <w:rPr>
          <w:rFonts w:hint="eastAsia" w:ascii="仿宋" w:hAnsi="仿宋" w:eastAsia="仿宋" w:cs="仿宋"/>
          <w:color w:val="auto"/>
          <w:highlight w:val="none"/>
        </w:rPr>
        <w:t>注：本授权委托书需由</w:t>
      </w:r>
      <w:r>
        <w:rPr>
          <w:rFonts w:hint="eastAsia" w:ascii="仿宋" w:hAnsi="仿宋" w:eastAsia="仿宋" w:cs="仿宋"/>
          <w:color w:val="auto"/>
          <w:highlight w:val="none"/>
          <w:lang w:eastAsia="zh-CN"/>
        </w:rPr>
        <w:t>竞选人</w:t>
      </w:r>
      <w:r>
        <w:rPr>
          <w:rFonts w:hint="eastAsia" w:ascii="仿宋" w:hAnsi="仿宋" w:eastAsia="仿宋" w:cs="仿宋"/>
          <w:color w:val="auto"/>
          <w:highlight w:val="none"/>
        </w:rPr>
        <w:t>加盖单位公章并由其法定代表人（单位负责人）和委托代理人签字。</w:t>
      </w:r>
    </w:p>
    <w:p w14:paraId="6CCC4825">
      <w:pPr>
        <w:spacing w:line="440" w:lineRule="exact"/>
        <w:rPr>
          <w:rFonts w:hint="eastAsia" w:ascii="仿宋" w:hAnsi="仿宋" w:eastAsia="仿宋" w:cs="仿宋"/>
          <w:color w:val="auto"/>
          <w:highlight w:val="none"/>
        </w:rPr>
      </w:pPr>
    </w:p>
    <w:p w14:paraId="11C393D1">
      <w:pPr>
        <w:spacing w:line="440" w:lineRule="exact"/>
        <w:rPr>
          <w:rFonts w:hint="eastAsia" w:ascii="仿宋" w:hAnsi="仿宋" w:eastAsia="仿宋" w:cs="仿宋"/>
          <w:color w:val="auto"/>
          <w:highlight w:val="none"/>
        </w:rPr>
      </w:pPr>
    </w:p>
    <w:p w14:paraId="2D8CC945">
      <w:pPr>
        <w:spacing w:line="440" w:lineRule="exact"/>
        <w:rPr>
          <w:rFonts w:hint="eastAsia" w:ascii="仿宋" w:hAnsi="仿宋" w:eastAsia="仿宋" w:cs="仿宋"/>
          <w:color w:val="auto"/>
          <w:highlight w:val="none"/>
        </w:rPr>
      </w:pPr>
    </w:p>
    <w:p w14:paraId="68E1E23B">
      <w:pPr>
        <w:spacing w:line="440" w:lineRule="exact"/>
        <w:rPr>
          <w:rFonts w:hint="eastAsia" w:ascii="仿宋" w:hAnsi="仿宋" w:eastAsia="仿宋" w:cs="仿宋"/>
          <w:color w:val="auto"/>
          <w:highlight w:val="none"/>
        </w:rPr>
      </w:pPr>
    </w:p>
    <w:p w14:paraId="1846ED55">
      <w:pPr>
        <w:spacing w:line="440" w:lineRule="exact"/>
        <w:rPr>
          <w:rFonts w:hint="eastAsia" w:ascii="仿宋" w:hAnsi="仿宋" w:eastAsia="仿宋" w:cs="仿宋"/>
          <w:color w:val="auto"/>
          <w:highlight w:val="none"/>
        </w:rPr>
      </w:pPr>
    </w:p>
    <w:p w14:paraId="0628A919">
      <w:pPr>
        <w:spacing w:line="460" w:lineRule="exact"/>
        <w:ind w:firstLine="500" w:firstLineChars="20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pacing w:val="20"/>
          <w:szCs w:val="21"/>
          <w:highlight w:val="none"/>
        </w:rPr>
        <w:t xml:space="preserve"> </w:t>
      </w:r>
      <w:r>
        <w:rPr>
          <w:rFonts w:hint="eastAsia" w:ascii="方正仿宋_GBK" w:hAnsi="方正仿宋_GBK" w:eastAsia="方正仿宋_GBK" w:cs="方正仿宋_GBK"/>
          <w:spacing w:val="20"/>
          <w:szCs w:val="21"/>
          <w:highlight w:val="none"/>
          <w:lang w:val="en-US" w:eastAsia="zh-CN"/>
        </w:rPr>
        <w:t xml:space="preserve">   </w:t>
      </w:r>
      <w:r>
        <w:rPr>
          <w:rFonts w:hint="eastAsia" w:ascii="方正仿宋_GBK" w:hAnsi="方正仿宋_GBK" w:eastAsia="方正仿宋_GBK" w:cs="方正仿宋_GBK"/>
          <w:spacing w:val="20"/>
          <w:szCs w:val="21"/>
          <w:highlight w:val="none"/>
        </w:rPr>
        <w:t>竞选人：</w:t>
      </w:r>
      <w:r>
        <w:rPr>
          <w:rFonts w:hint="eastAsia" w:ascii="方正仿宋_GBK" w:hAnsi="方正仿宋_GBK" w:eastAsia="方正仿宋_GBK" w:cs="方正仿宋_GBK"/>
          <w:spacing w:val="20"/>
          <w:szCs w:val="21"/>
          <w:highlight w:val="none"/>
          <w:u w:val="single"/>
        </w:rPr>
        <w:t xml:space="preserve">                </w:t>
      </w:r>
      <w:r>
        <w:rPr>
          <w:rFonts w:hint="eastAsia" w:ascii="方正仿宋_GBK" w:hAnsi="方正仿宋_GBK" w:eastAsia="方正仿宋_GBK" w:cs="方正仿宋_GBK"/>
          <w:spacing w:val="20"/>
          <w:szCs w:val="21"/>
          <w:highlight w:val="none"/>
          <w:u w:val="single"/>
          <w:lang w:val="en-US" w:eastAsia="zh-CN"/>
        </w:rPr>
        <w:t xml:space="preserve">           </w:t>
      </w:r>
      <w:r>
        <w:rPr>
          <w:rFonts w:hint="eastAsia" w:ascii="方正仿宋_GBK" w:hAnsi="方正仿宋_GBK" w:eastAsia="方正仿宋_GBK" w:cs="方正仿宋_GBK"/>
          <w:spacing w:val="20"/>
          <w:szCs w:val="21"/>
          <w:highlight w:val="none"/>
          <w:u w:val="single"/>
        </w:rPr>
        <w:t xml:space="preserve"> </w:t>
      </w:r>
      <w:r>
        <w:rPr>
          <w:rFonts w:hint="eastAsia" w:ascii="方正仿宋_GBK" w:hAnsi="方正仿宋_GBK" w:eastAsia="方正仿宋_GBK" w:cs="方正仿宋_GBK"/>
          <w:szCs w:val="21"/>
          <w:highlight w:val="none"/>
        </w:rPr>
        <w:t>（盖单位法人公章）</w:t>
      </w:r>
    </w:p>
    <w:p w14:paraId="3E250AF8">
      <w:pPr>
        <w:spacing w:line="460" w:lineRule="exact"/>
        <w:ind w:firstLine="1050" w:firstLineChars="50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 xml:space="preserve"> 法定代表人：</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u w:val="single"/>
          <w:lang w:val="en-US" w:eastAsia="zh-CN"/>
        </w:rPr>
        <w:t xml:space="preserve">              </w:t>
      </w:r>
      <w:r>
        <w:rPr>
          <w:rFonts w:hint="eastAsia" w:ascii="方正仿宋_GBK" w:hAnsi="方正仿宋_GBK" w:eastAsia="方正仿宋_GBK" w:cs="方正仿宋_GBK"/>
          <w:szCs w:val="21"/>
          <w:highlight w:val="none"/>
        </w:rPr>
        <w:t>（签字或盖章）</w:t>
      </w:r>
    </w:p>
    <w:p w14:paraId="315D3EF1">
      <w:pPr>
        <w:spacing w:line="460" w:lineRule="exact"/>
        <w:ind w:firstLine="1050" w:firstLineChars="500"/>
        <w:rPr>
          <w:rFonts w:hint="default" w:ascii="方正仿宋_GBK" w:hAnsi="方正仿宋_GBK" w:eastAsia="方正仿宋_GBK" w:cs="方正仿宋_GBK"/>
          <w:szCs w:val="21"/>
          <w:highlight w:val="none"/>
          <w:lang w:val="en-US" w:eastAsia="zh-CN"/>
        </w:rPr>
      </w:pPr>
      <w:r>
        <w:rPr>
          <w:rFonts w:hint="eastAsia" w:ascii="方正仿宋_GBK" w:hAnsi="方正仿宋_GBK" w:eastAsia="方正仿宋_GBK" w:cs="方正仿宋_GBK"/>
          <w:szCs w:val="21"/>
          <w:highlight w:val="none"/>
        </w:rPr>
        <w:t xml:space="preserve"> 身份证号码：</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u w:val="single"/>
          <w:lang w:val="en-US" w:eastAsia="zh-CN"/>
        </w:rPr>
        <w:t xml:space="preserve">              </w:t>
      </w:r>
    </w:p>
    <w:p w14:paraId="1A390B40">
      <w:pPr>
        <w:spacing w:line="460" w:lineRule="exact"/>
        <w:ind w:firstLine="1155" w:firstLineChars="55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委托代理人：</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u w:val="single"/>
          <w:lang w:val="en-US" w:eastAsia="zh-CN"/>
        </w:rPr>
        <w:t xml:space="preserve">                </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rPr>
        <w:t>（签字）</w:t>
      </w:r>
    </w:p>
    <w:p w14:paraId="071ED1F0">
      <w:pPr>
        <w:spacing w:line="460" w:lineRule="exact"/>
        <w:ind w:firstLine="1050" w:firstLineChars="500"/>
        <w:rPr>
          <w:rFonts w:hint="eastAsia" w:ascii="方正仿宋_GBK" w:hAnsi="方正仿宋_GBK" w:eastAsia="方正仿宋_GBK" w:cs="方正仿宋_GBK"/>
          <w:szCs w:val="21"/>
          <w:highlight w:val="none"/>
          <w:u w:val="single"/>
        </w:rPr>
      </w:pPr>
      <w:r>
        <w:rPr>
          <w:rFonts w:hint="eastAsia" w:ascii="方正仿宋_GBK" w:hAnsi="方正仿宋_GBK" w:eastAsia="方正仿宋_GBK" w:cs="方正仿宋_GBK"/>
          <w:szCs w:val="21"/>
          <w:highlight w:val="none"/>
        </w:rPr>
        <w:t xml:space="preserve"> 身份证号码：</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u w:val="single"/>
          <w:lang w:val="en-US" w:eastAsia="zh-CN"/>
        </w:rPr>
        <w:t xml:space="preserve"> </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u w:val="single"/>
          <w:lang w:val="en-US" w:eastAsia="zh-CN"/>
        </w:rPr>
        <w:t xml:space="preserve">                 </w:t>
      </w:r>
      <w:r>
        <w:rPr>
          <w:rFonts w:hint="eastAsia" w:ascii="方正仿宋_GBK" w:hAnsi="方正仿宋_GBK" w:eastAsia="方正仿宋_GBK" w:cs="方正仿宋_GBK"/>
          <w:szCs w:val="21"/>
          <w:highlight w:val="none"/>
          <w:u w:val="single"/>
        </w:rPr>
        <w:t xml:space="preserve"> </w:t>
      </w:r>
    </w:p>
    <w:p w14:paraId="23D2D027">
      <w:pPr>
        <w:spacing w:line="460" w:lineRule="exact"/>
        <w:ind w:firstLine="1050" w:firstLineChars="500"/>
        <w:rPr>
          <w:rFonts w:hint="eastAsia" w:ascii="方正仿宋_GBK" w:hAnsi="方正仿宋_GBK" w:eastAsia="方正仿宋_GBK" w:cs="方正仿宋_GBK"/>
          <w:szCs w:val="21"/>
          <w:highlight w:val="none"/>
          <w:u w:val="single"/>
        </w:rPr>
      </w:pPr>
      <w:r>
        <w:rPr>
          <w:rFonts w:hint="eastAsia" w:ascii="方正仿宋_GBK" w:hAnsi="方正仿宋_GBK" w:eastAsia="方正仿宋_GBK" w:cs="方正仿宋_GBK"/>
          <w:szCs w:val="21"/>
          <w:highlight w:val="none"/>
        </w:rPr>
        <w:t xml:space="preserve"> 委托代理人联系电话：</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u w:val="single"/>
          <w:lang w:val="en-US" w:eastAsia="zh-CN"/>
        </w:rPr>
        <w:t xml:space="preserve">                  </w:t>
      </w:r>
      <w:r>
        <w:rPr>
          <w:rFonts w:hint="eastAsia" w:ascii="方正仿宋_GBK" w:hAnsi="方正仿宋_GBK" w:eastAsia="方正仿宋_GBK" w:cs="方正仿宋_GBK"/>
          <w:szCs w:val="21"/>
          <w:highlight w:val="none"/>
          <w:u w:val="single"/>
        </w:rPr>
        <w:t xml:space="preserve">  </w:t>
      </w:r>
    </w:p>
    <w:p w14:paraId="3E5C7859">
      <w:pPr>
        <w:spacing w:line="460" w:lineRule="exact"/>
        <w:ind w:firstLine="1155" w:firstLineChars="550"/>
        <w:rPr>
          <w:rFonts w:hint="eastAsia" w:ascii="方正仿宋_GBK" w:hAnsi="方正仿宋_GBK" w:eastAsia="方正仿宋_GBK" w:cs="方正仿宋_GBK"/>
          <w:spacing w:val="20"/>
          <w:szCs w:val="21"/>
          <w:highlight w:val="none"/>
        </w:rPr>
      </w:pPr>
      <w:r>
        <w:rPr>
          <w:rFonts w:hint="eastAsia" w:ascii="方正仿宋_GBK" w:hAnsi="方正仿宋_GBK" w:eastAsia="方正仿宋_GBK" w:cs="方正仿宋_GBK"/>
          <w:szCs w:val="21"/>
          <w:highlight w:val="none"/>
        </w:rPr>
        <w:t>委托代理人电子邮箱：</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zCs w:val="21"/>
          <w:highlight w:val="none"/>
          <w:u w:val="single"/>
          <w:lang w:val="en-US" w:eastAsia="zh-CN"/>
        </w:rPr>
        <w:t xml:space="preserve">                  </w:t>
      </w:r>
      <w:r>
        <w:rPr>
          <w:rFonts w:hint="eastAsia" w:ascii="方正仿宋_GBK" w:hAnsi="方正仿宋_GBK" w:eastAsia="方正仿宋_GBK" w:cs="方正仿宋_GBK"/>
          <w:szCs w:val="21"/>
          <w:highlight w:val="none"/>
          <w:u w:val="single"/>
        </w:rPr>
        <w:t xml:space="preserve"> </w:t>
      </w:r>
      <w:r>
        <w:rPr>
          <w:rFonts w:hint="eastAsia" w:ascii="方正仿宋_GBK" w:hAnsi="方正仿宋_GBK" w:eastAsia="方正仿宋_GBK" w:cs="方正仿宋_GBK"/>
          <w:spacing w:val="20"/>
          <w:szCs w:val="21"/>
          <w:highlight w:val="none"/>
        </w:rPr>
        <w:t xml:space="preserve"> </w:t>
      </w:r>
    </w:p>
    <w:p w14:paraId="41E2D91F">
      <w:pPr>
        <w:spacing w:line="460" w:lineRule="exact"/>
        <w:ind w:firstLine="1155" w:firstLineChars="55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日期：    年   月   日</w:t>
      </w:r>
    </w:p>
    <w:p w14:paraId="6872CE57">
      <w:pPr>
        <w:spacing w:line="46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p>
    <w:p w14:paraId="7D21A22B">
      <w:pPr>
        <w:spacing w:line="46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p>
    <w:p w14:paraId="1A808070">
      <w:pPr>
        <w:spacing w:line="46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p>
    <w:p w14:paraId="0C353186">
      <w:pPr>
        <w:spacing w:line="46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Cs w:val="21"/>
          <w:highlight w:val="none"/>
        </w:rPr>
        <w:drawing>
          <wp:inline distT="0" distB="0" distL="114300" distR="114300">
            <wp:extent cx="4119245" cy="635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4119245" cy="6350"/>
                    </a:xfrm>
                    <a:prstGeom prst="rect">
                      <a:avLst/>
                    </a:prstGeom>
                    <a:noFill/>
                    <a:ln>
                      <a:noFill/>
                    </a:ln>
                  </pic:spPr>
                </pic:pic>
              </a:graphicData>
            </a:graphic>
          </wp:inline>
        </w:drawing>
      </w:r>
      <w:r>
        <w:rPr>
          <w:rFonts w:hint="eastAsia" w:ascii="方正仿宋_GBK" w:hAnsi="方正仿宋_GBK" w:eastAsia="方正仿宋_GBK" w:cs="方正仿宋_GBK"/>
          <w:sz w:val="24"/>
          <w:szCs w:val="24"/>
          <w:highlight w:val="none"/>
        </w:rPr>
        <w:t xml:space="preserve"> </w:t>
      </w:r>
    </w:p>
    <w:p w14:paraId="62A2B8B8">
      <w:pPr>
        <w:spacing w:line="460" w:lineRule="exact"/>
        <w:ind w:firstLine="420" w:firstLineChars="20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rPr>
        <w:t>备注：</w:t>
      </w:r>
    </w:p>
    <w:p w14:paraId="0440BD35">
      <w:pPr>
        <w:spacing w:line="460" w:lineRule="exact"/>
        <w:ind w:firstLine="420" w:firstLineChars="200"/>
        <w:rPr>
          <w:rFonts w:hint="eastAsia" w:ascii="方正仿宋_GBK" w:hAnsi="方正仿宋_GBK" w:eastAsia="方正仿宋_GBK" w:cs="方正仿宋_GBK"/>
          <w:szCs w:val="21"/>
          <w:highlight w:val="none"/>
        </w:rPr>
      </w:pPr>
      <w:r>
        <w:rPr>
          <w:rFonts w:hint="eastAsia" w:ascii="方正仿宋_GBK" w:hAnsi="方正仿宋_GBK" w:eastAsia="方正仿宋_GBK" w:cs="方正仿宋_GBK"/>
          <w:szCs w:val="21"/>
          <w:highlight w:val="none"/>
          <w:lang w:eastAsia="zh-CN"/>
        </w:rPr>
        <w:t>1.</w:t>
      </w:r>
      <w:r>
        <w:rPr>
          <w:rFonts w:hint="eastAsia" w:ascii="方正仿宋_GBK" w:hAnsi="方正仿宋_GBK" w:eastAsia="方正仿宋_GBK" w:cs="方正仿宋_GBK"/>
          <w:szCs w:val="21"/>
          <w:highlight w:val="none"/>
        </w:rPr>
        <w:t>法定代表人参加竞选活动并签署文件的不需要授权委托书，只需提供法定代表人身份证明；非法定代表人参加竞选活动及签署文件的除提供法定代表人身份证明外还须提供授权委托书。</w:t>
      </w:r>
    </w:p>
    <w:p w14:paraId="5FC2B469">
      <w:pPr>
        <w:pStyle w:val="6"/>
        <w:rPr>
          <w:rFonts w:hint="eastAsia" w:ascii="方正仿宋_GB2312" w:hAnsi="方正仿宋_GB2312" w:eastAsia="方正仿宋_GB2312" w:cs="方正仿宋_GB2312"/>
          <w:color w:val="auto"/>
        </w:rPr>
      </w:pPr>
      <w:r>
        <w:rPr>
          <w:rFonts w:hint="eastAsia" w:ascii="方正仿宋_GBK" w:hAnsi="方正仿宋_GBK" w:eastAsia="方正仿宋_GBK" w:cs="方正仿宋_GBK"/>
          <w:szCs w:val="21"/>
          <w:highlight w:val="none"/>
          <w:lang w:eastAsia="zh-CN"/>
        </w:rPr>
        <w:t>2.</w:t>
      </w:r>
      <w:r>
        <w:rPr>
          <w:rFonts w:hint="eastAsia" w:ascii="方正仿宋_GBK" w:hAnsi="方正仿宋_GBK" w:eastAsia="方正仿宋_GBK" w:cs="方正仿宋_GBK"/>
          <w:szCs w:val="21"/>
          <w:highlight w:val="none"/>
        </w:rPr>
        <w:t>法定代表人身份证明及授权委托书原件装入竞选文件一并递交。</w:t>
      </w:r>
      <w:r>
        <w:rPr>
          <w:rFonts w:hint="eastAsia" w:ascii="方正仿宋_GBK" w:hAnsi="方正仿宋_GBK" w:eastAsia="方正仿宋_GBK" w:cs="方正仿宋_GBK"/>
          <w:b/>
          <w:sz w:val="36"/>
          <w:szCs w:val="36"/>
          <w:highlight w:val="none"/>
        </w:rPr>
        <w:br w:type="page"/>
      </w:r>
    </w:p>
    <w:p w14:paraId="0E303672">
      <w:pPr>
        <w:pStyle w:val="6"/>
        <w:rPr>
          <w:rFonts w:hint="eastAsia" w:ascii="方正仿宋_GB2312" w:hAnsi="方正仿宋_GB2312" w:eastAsia="方正仿宋_GB2312" w:cs="方正仿宋_GB2312"/>
          <w:color w:val="auto"/>
        </w:rPr>
      </w:pPr>
    </w:p>
    <w:p w14:paraId="501A83E4">
      <w:pPr>
        <w:pStyle w:val="6"/>
        <w:rPr>
          <w:rFonts w:hint="eastAsia" w:ascii="方正仿宋_GB2312" w:hAnsi="方正仿宋_GB2312" w:eastAsia="方正仿宋_GB2312" w:cs="方正仿宋_GB2312"/>
          <w:color w:val="auto"/>
        </w:rPr>
      </w:pPr>
    </w:p>
    <w:p w14:paraId="2C438403">
      <w:pPr>
        <w:pStyle w:val="3"/>
        <w:spacing w:before="0" w:after="0" w:line="360" w:lineRule="auto"/>
        <w:ind w:left="0" w:leftChars="0" w:right="105" w:rightChars="0"/>
        <w:jc w:val="center"/>
        <w:rPr>
          <w:rFonts w:ascii="方正仿宋_GBK" w:hAnsi="方正仿宋_GBK" w:eastAsia="方正仿宋_GBK" w:cs="Times New Roman"/>
          <w:b w:val="0"/>
          <w:sz w:val="44"/>
          <w:szCs w:val="44"/>
          <w:highlight w:val="none"/>
        </w:rPr>
      </w:pPr>
      <w:bookmarkStart w:id="245" w:name="_Toc5358"/>
      <w:bookmarkStart w:id="246" w:name="_Toc6696"/>
      <w:bookmarkStart w:id="247" w:name="_Toc57796015"/>
      <w:r>
        <w:rPr>
          <w:rFonts w:hint="eastAsia" w:ascii="方正仿宋_GBK" w:hAnsi="方正仿宋_GBK" w:eastAsia="方正仿宋_GBK" w:cs="Times New Roman"/>
          <w:b w:val="0"/>
          <w:sz w:val="44"/>
          <w:szCs w:val="44"/>
          <w:highlight w:val="none"/>
        </w:rPr>
        <w:t>二、商务部分</w:t>
      </w:r>
      <w:bookmarkEnd w:id="245"/>
      <w:bookmarkEnd w:id="246"/>
      <w:bookmarkEnd w:id="247"/>
    </w:p>
    <w:p w14:paraId="5DACBED9">
      <w:pPr>
        <w:tabs>
          <w:tab w:val="left" w:pos="1680"/>
          <w:tab w:val="left" w:pos="4215"/>
          <w:tab w:val="left" w:pos="4305"/>
          <w:tab w:val="left" w:pos="8000"/>
        </w:tabs>
        <w:ind w:right="105"/>
        <w:rPr>
          <w:rFonts w:hint="eastAsia" w:ascii="方正仿宋_GBK" w:hAnsi="方正仿宋_GBK" w:eastAsia="方正仿宋_GBK" w:cs="宋体"/>
          <w:highlight w:val="none"/>
          <w:lang w:eastAsia="zh-CN"/>
        </w:rPr>
      </w:pPr>
      <w:r>
        <w:rPr>
          <w:rFonts w:hint="eastAsia" w:ascii="方正仿宋_GBK" w:hAnsi="方正仿宋_GBK" w:eastAsia="方正仿宋_GBK" w:cs="宋体"/>
          <w:highlight w:val="none"/>
          <w:lang w:eastAsia="zh-CN"/>
        </w:rPr>
        <w:t>提供包括但不限于如下资料：</w:t>
      </w:r>
    </w:p>
    <w:p w14:paraId="2F6E8AB5">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1.营业执照：复印件加盖公章。</w:t>
      </w:r>
    </w:p>
    <w:p w14:paraId="5D98CB7A">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2.资质证书：复印件加盖公章。</w:t>
      </w:r>
    </w:p>
    <w:p w14:paraId="29A082D6">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3.类似业绩：合同复印件加盖公章。</w:t>
      </w:r>
    </w:p>
    <w:p w14:paraId="21BE093E">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4.财务状况：提供2023年1月1日起至竞选文件投递截止时间的财务状况良好承诺书（格式自拟）。</w:t>
      </w:r>
    </w:p>
    <w:p w14:paraId="0BF9FFDC">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5.信誉承诺：提供信誉良好承诺书（格式自拟），承诺无失信、无违法、无行贿等情形。</w:t>
      </w:r>
    </w:p>
    <w:p w14:paraId="2F42B701">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6.其他证明材料（如有）：</w:t>
      </w:r>
      <w:r>
        <w:rPr>
          <w:rFonts w:hint="eastAsia" w:ascii="方正仿宋_GBK" w:hAnsi="方正仿宋_GBK" w:eastAsia="方正仿宋_GBK" w:cs="宋体"/>
          <w:highlight w:val="none"/>
        </w:rPr>
        <w:t>公司荣誉奖项、质量管理体系认证、用户评价等</w:t>
      </w:r>
      <w:r>
        <w:rPr>
          <w:rFonts w:hint="eastAsia" w:ascii="方正仿宋_GBK" w:hAnsi="方正仿宋_GBK" w:eastAsia="方正仿宋_GBK" w:cs="宋体"/>
          <w:highlight w:val="none"/>
          <w:lang w:eastAsia="zh-CN"/>
        </w:rPr>
        <w:t>。</w:t>
      </w:r>
    </w:p>
    <w:p w14:paraId="18268749">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备注：1-4项比选提供，所有复印件及承诺文件须加盖清晰、完整、可识别的单位公章，印章模糊、无法识别或遮挡关键信息的，按无效响应处理，并由竞选人自行承担一切后果。</w:t>
      </w:r>
    </w:p>
    <w:p w14:paraId="56AAF561">
      <w:pPr>
        <w:pStyle w:val="6"/>
        <w:rPr>
          <w:rFonts w:hint="eastAsia"/>
          <w:color w:val="auto"/>
          <w:lang w:val="en-US" w:eastAsia="zh-CN"/>
        </w:rPr>
      </w:pPr>
    </w:p>
    <w:p w14:paraId="6F270F02">
      <w:pPr>
        <w:rPr>
          <w:rFonts w:hint="eastAsia"/>
          <w:color w:val="auto"/>
          <w:lang w:val="en-US" w:eastAsia="zh-CN"/>
        </w:rPr>
      </w:pPr>
    </w:p>
    <w:p w14:paraId="1A4C79A4">
      <w:pPr>
        <w:pStyle w:val="6"/>
        <w:rPr>
          <w:rFonts w:hint="eastAsia"/>
          <w:color w:val="auto"/>
          <w:lang w:val="en-US" w:eastAsia="zh-CN"/>
        </w:rPr>
      </w:pPr>
    </w:p>
    <w:p w14:paraId="7989AE8D">
      <w:pPr>
        <w:rPr>
          <w:rFonts w:hint="eastAsia"/>
          <w:color w:val="auto"/>
          <w:lang w:val="en-US" w:eastAsia="zh-CN"/>
        </w:rPr>
      </w:pPr>
    </w:p>
    <w:p w14:paraId="74E61AB4">
      <w:pPr>
        <w:pStyle w:val="6"/>
        <w:rPr>
          <w:rFonts w:hint="eastAsia"/>
          <w:color w:val="auto"/>
          <w:lang w:val="en-US" w:eastAsia="zh-CN"/>
        </w:rPr>
      </w:pPr>
    </w:p>
    <w:p w14:paraId="63FB162C">
      <w:pPr>
        <w:rPr>
          <w:rFonts w:hint="eastAsia"/>
          <w:color w:val="auto"/>
          <w:lang w:val="en-US" w:eastAsia="zh-CN"/>
        </w:rPr>
      </w:pPr>
    </w:p>
    <w:p w14:paraId="0A576A4A">
      <w:pPr>
        <w:pStyle w:val="6"/>
        <w:rPr>
          <w:rFonts w:hint="eastAsia"/>
          <w:color w:val="auto"/>
          <w:lang w:val="en-US" w:eastAsia="zh-CN"/>
        </w:rPr>
      </w:pPr>
    </w:p>
    <w:p w14:paraId="3FD9C040">
      <w:pPr>
        <w:rPr>
          <w:rFonts w:hint="eastAsia"/>
          <w:color w:val="auto"/>
          <w:lang w:val="en-US" w:eastAsia="zh-CN"/>
        </w:rPr>
      </w:pPr>
    </w:p>
    <w:p w14:paraId="0963F9CC">
      <w:pPr>
        <w:pStyle w:val="6"/>
        <w:rPr>
          <w:rFonts w:hint="eastAsia"/>
          <w:color w:val="auto"/>
          <w:lang w:val="en-US" w:eastAsia="zh-CN"/>
        </w:rPr>
      </w:pPr>
    </w:p>
    <w:p w14:paraId="5159F55A">
      <w:pPr>
        <w:rPr>
          <w:rFonts w:hint="eastAsia"/>
          <w:color w:val="auto"/>
          <w:lang w:val="en-US" w:eastAsia="zh-CN"/>
        </w:rPr>
      </w:pPr>
    </w:p>
    <w:p w14:paraId="3085FD64">
      <w:pPr>
        <w:pStyle w:val="6"/>
        <w:rPr>
          <w:rFonts w:hint="eastAsia"/>
          <w:color w:val="auto"/>
          <w:lang w:val="en-US" w:eastAsia="zh-CN"/>
        </w:rPr>
      </w:pPr>
    </w:p>
    <w:p w14:paraId="0CFA2094">
      <w:pPr>
        <w:rPr>
          <w:rFonts w:hint="eastAsia"/>
          <w:color w:val="auto"/>
          <w:lang w:val="en-US" w:eastAsia="zh-CN"/>
        </w:rPr>
      </w:pPr>
    </w:p>
    <w:p w14:paraId="59FE4F7D">
      <w:pPr>
        <w:pStyle w:val="6"/>
        <w:rPr>
          <w:rFonts w:hint="eastAsia"/>
          <w:color w:val="auto"/>
          <w:lang w:val="en-US" w:eastAsia="zh-CN"/>
        </w:rPr>
      </w:pPr>
    </w:p>
    <w:p w14:paraId="4265C111">
      <w:pPr>
        <w:rPr>
          <w:rFonts w:hint="eastAsia"/>
          <w:color w:val="auto"/>
          <w:lang w:val="en-US" w:eastAsia="zh-CN"/>
        </w:rPr>
      </w:pPr>
    </w:p>
    <w:p w14:paraId="6EA2A296">
      <w:pPr>
        <w:pStyle w:val="6"/>
        <w:rPr>
          <w:rFonts w:hint="eastAsia"/>
          <w:color w:val="auto"/>
          <w:lang w:val="en-US" w:eastAsia="zh-CN"/>
        </w:rPr>
      </w:pPr>
    </w:p>
    <w:p w14:paraId="17199D23">
      <w:pPr>
        <w:rPr>
          <w:rFonts w:hint="eastAsia"/>
          <w:color w:val="auto"/>
          <w:lang w:val="en-US" w:eastAsia="zh-CN"/>
        </w:rPr>
      </w:pPr>
    </w:p>
    <w:p w14:paraId="4B1BFAC2">
      <w:pPr>
        <w:pStyle w:val="6"/>
        <w:rPr>
          <w:rFonts w:hint="eastAsia"/>
          <w:color w:val="auto"/>
          <w:lang w:val="en-US" w:eastAsia="zh-CN"/>
        </w:rPr>
      </w:pPr>
    </w:p>
    <w:p w14:paraId="64A7E050">
      <w:pPr>
        <w:rPr>
          <w:rFonts w:hint="eastAsia"/>
          <w:color w:val="auto"/>
          <w:lang w:val="en-US" w:eastAsia="zh-CN"/>
        </w:rPr>
      </w:pPr>
    </w:p>
    <w:p w14:paraId="7201A79E">
      <w:pPr>
        <w:pStyle w:val="6"/>
        <w:rPr>
          <w:rFonts w:hint="eastAsia"/>
          <w:color w:val="auto"/>
          <w:lang w:val="en-US" w:eastAsia="zh-CN"/>
        </w:rPr>
      </w:pPr>
    </w:p>
    <w:p w14:paraId="32C37FA6">
      <w:pPr>
        <w:rPr>
          <w:rFonts w:hint="eastAsia"/>
          <w:color w:val="auto"/>
          <w:lang w:val="en-US" w:eastAsia="zh-CN"/>
        </w:rPr>
      </w:pPr>
    </w:p>
    <w:p w14:paraId="33D6F0A3">
      <w:pPr>
        <w:pStyle w:val="6"/>
        <w:rPr>
          <w:rFonts w:hint="eastAsia"/>
          <w:color w:val="auto"/>
          <w:lang w:val="en-US" w:eastAsia="zh-CN"/>
        </w:rPr>
      </w:pPr>
    </w:p>
    <w:p w14:paraId="56985360">
      <w:pPr>
        <w:pStyle w:val="6"/>
        <w:rPr>
          <w:rFonts w:hint="eastAsia"/>
          <w:color w:val="auto"/>
          <w:lang w:val="en-US" w:eastAsia="zh-CN"/>
        </w:rPr>
      </w:pPr>
    </w:p>
    <w:p w14:paraId="48C7231C">
      <w:pPr>
        <w:pStyle w:val="6"/>
        <w:rPr>
          <w:rFonts w:hint="eastAsia"/>
          <w:color w:val="auto"/>
          <w:lang w:val="en-US" w:eastAsia="zh-CN"/>
        </w:rPr>
      </w:pPr>
    </w:p>
    <w:p w14:paraId="7F791E74">
      <w:pPr>
        <w:rPr>
          <w:rFonts w:hint="eastAsia"/>
          <w:color w:val="auto"/>
          <w:lang w:val="en-US" w:eastAsia="zh-CN"/>
        </w:rPr>
      </w:pPr>
    </w:p>
    <w:p w14:paraId="0FADA4C2">
      <w:pPr>
        <w:pStyle w:val="3"/>
        <w:spacing w:before="0" w:after="0" w:line="360" w:lineRule="auto"/>
        <w:ind w:left="105" w:right="105"/>
        <w:jc w:val="center"/>
        <w:rPr>
          <w:rFonts w:ascii="方正仿宋_GBK" w:hAnsi="方正仿宋_GBK" w:eastAsia="方正仿宋_GBK"/>
          <w:b w:val="0"/>
          <w:sz w:val="44"/>
          <w:szCs w:val="44"/>
          <w:highlight w:val="none"/>
        </w:rPr>
      </w:pPr>
      <w:bookmarkStart w:id="248" w:name="_Toc57796016"/>
      <w:bookmarkStart w:id="249" w:name="_Toc19503"/>
      <w:bookmarkStart w:id="250" w:name="_Toc31847"/>
      <w:r>
        <w:rPr>
          <w:rFonts w:hint="eastAsia" w:ascii="方正仿宋_GBK" w:hAnsi="方正仿宋_GBK" w:eastAsia="方正仿宋_GBK"/>
          <w:b w:val="0"/>
          <w:sz w:val="44"/>
          <w:szCs w:val="44"/>
          <w:highlight w:val="none"/>
        </w:rPr>
        <w:t>三、技术部分</w:t>
      </w:r>
      <w:bookmarkEnd w:id="248"/>
      <w:bookmarkEnd w:id="249"/>
      <w:bookmarkEnd w:id="250"/>
    </w:p>
    <w:p w14:paraId="030D0351">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1.竞选人应结合本次采购项目情况，从工作方案、进度计划、质量保证措施等方面进行技术描述。包括但不限于项目理解、工作方案、进度计划、人员安排、质量保证措施、协调沟通方案、应急预案等。</w:t>
      </w:r>
    </w:p>
    <w:p w14:paraId="2C1638A4">
      <w:pPr>
        <w:tabs>
          <w:tab w:val="left" w:pos="1680"/>
          <w:tab w:val="left" w:pos="4215"/>
          <w:tab w:val="left" w:pos="4305"/>
          <w:tab w:val="left" w:pos="8000"/>
        </w:tabs>
        <w:ind w:left="105" w:right="105" w:firstLine="420" w:firstLineChars="200"/>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2.本部分竞选人结合自身情况考虑提供。</w:t>
      </w:r>
    </w:p>
    <w:p w14:paraId="67D85AD5">
      <w:pPr>
        <w:tabs>
          <w:tab w:val="left" w:pos="1680"/>
          <w:tab w:val="left" w:pos="4215"/>
          <w:tab w:val="left" w:pos="4305"/>
          <w:tab w:val="left" w:pos="8000"/>
        </w:tabs>
        <w:ind w:left="105" w:right="105" w:firstLine="420" w:firstLineChars="200"/>
        <w:rPr>
          <w:rFonts w:hint="default"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3.本部分未强制要求统一格式，内容完整、能满足评审需求即可。提供的技术部分资料控制在100页（含）以下。</w:t>
      </w:r>
    </w:p>
    <w:p w14:paraId="13AEF0E4">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2CB08A24">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702109B4">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663ABD02">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16E23460">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6554CAFA">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7DB6C9E8">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5D39D2B4">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2975B69D">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1DF76834">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36E4E36B">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75D57310">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4F42C9CD">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234C3D41">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279F3222">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2313F855">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47171C60">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267548F3">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2C3DCED3">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2070F7D9">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1E7A432E">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35A2D9C1">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1F3CA78C">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60A5655D">
      <w:pPr>
        <w:pStyle w:val="3"/>
        <w:spacing w:before="0" w:after="0" w:line="360" w:lineRule="auto"/>
        <w:ind w:left="105" w:right="105"/>
        <w:jc w:val="center"/>
        <w:rPr>
          <w:rFonts w:ascii="方正仿宋_GBK" w:hAnsi="方正仿宋_GBK" w:eastAsia="方正仿宋_GBK"/>
          <w:b w:val="0"/>
          <w:sz w:val="44"/>
          <w:szCs w:val="44"/>
          <w:highlight w:val="none"/>
        </w:rPr>
      </w:pPr>
      <w:bookmarkStart w:id="251" w:name="_Toc287620829"/>
      <w:bookmarkStart w:id="252" w:name="_Toc277082656"/>
      <w:bookmarkStart w:id="253" w:name="_Toc430530545"/>
      <w:bookmarkStart w:id="254" w:name="_Toc224103510"/>
      <w:bookmarkStart w:id="255" w:name="_Toc287607882"/>
      <w:bookmarkStart w:id="256" w:name="_Toc57796018"/>
      <w:bookmarkStart w:id="257" w:name="_Toc9281"/>
      <w:bookmarkStart w:id="258" w:name="_Toc4351"/>
      <w:r>
        <w:rPr>
          <w:rFonts w:hint="eastAsia" w:ascii="方正仿宋_GBK" w:hAnsi="方正仿宋_GBK" w:eastAsia="方正仿宋_GBK"/>
          <w:b w:val="0"/>
          <w:sz w:val="44"/>
          <w:szCs w:val="44"/>
          <w:highlight w:val="none"/>
        </w:rPr>
        <w:t>四、资格审查</w:t>
      </w:r>
      <w:bookmarkEnd w:id="251"/>
      <w:bookmarkEnd w:id="252"/>
      <w:bookmarkEnd w:id="253"/>
      <w:bookmarkEnd w:id="254"/>
      <w:bookmarkEnd w:id="255"/>
      <w:bookmarkEnd w:id="256"/>
      <w:r>
        <w:rPr>
          <w:rFonts w:hint="eastAsia" w:ascii="方正仿宋_GBK" w:hAnsi="方正仿宋_GBK" w:eastAsia="方正仿宋_GBK"/>
          <w:b w:val="0"/>
          <w:sz w:val="44"/>
          <w:szCs w:val="44"/>
          <w:highlight w:val="none"/>
        </w:rPr>
        <w:t>部分</w:t>
      </w:r>
      <w:bookmarkEnd w:id="257"/>
      <w:bookmarkEnd w:id="258"/>
    </w:p>
    <w:p w14:paraId="430448B9">
      <w:pPr>
        <w:ind w:left="48" w:leftChars="23" w:right="105"/>
        <w:jc w:val="left"/>
        <w:rPr>
          <w:rFonts w:hint="eastAsia" w:ascii="方正仿宋_GBK" w:hAnsi="方正仿宋_GBK" w:eastAsia="方正仿宋_GBK" w:cs="宋体"/>
          <w:highlight w:val="none"/>
          <w:lang w:eastAsia="zh-CN"/>
        </w:rPr>
      </w:pPr>
      <w:r>
        <w:rPr>
          <w:rFonts w:hint="eastAsia" w:ascii="方正仿宋_GBK" w:hAnsi="方正仿宋_GBK" w:eastAsia="方正仿宋_GBK" w:cs="宋体"/>
          <w:highlight w:val="none"/>
          <w:lang w:eastAsia="zh-CN"/>
        </w:rPr>
        <w:t>提供包括但不限于如下资料：</w:t>
      </w:r>
    </w:p>
    <w:p w14:paraId="292AC251">
      <w:pPr>
        <w:ind w:left="46" w:leftChars="22" w:right="105" w:firstLine="371" w:firstLineChars="177"/>
        <w:jc w:val="left"/>
        <w:rPr>
          <w:rFonts w:hint="eastAsia" w:ascii="方正仿宋_GBK" w:hAnsi="方正仿宋_GBK" w:eastAsia="方正仿宋_GBK" w:cs="宋体"/>
          <w:highlight w:val="none"/>
          <w:lang w:eastAsia="zh-CN"/>
        </w:rPr>
      </w:pPr>
      <w:r>
        <w:rPr>
          <w:rFonts w:hint="eastAsia" w:ascii="方正仿宋_GBK" w:hAnsi="方正仿宋_GBK" w:eastAsia="方正仿宋_GBK" w:cs="宋体"/>
          <w:highlight w:val="none"/>
          <w:lang w:val="en-US" w:eastAsia="zh-CN"/>
        </w:rPr>
        <w:t>1.</w:t>
      </w:r>
      <w:r>
        <w:rPr>
          <w:rFonts w:hint="eastAsia" w:ascii="方正仿宋_GBK" w:hAnsi="方正仿宋_GBK" w:eastAsia="方正仿宋_GBK" w:cs="宋体"/>
          <w:highlight w:val="none"/>
          <w:lang w:eastAsia="zh-CN"/>
        </w:rPr>
        <w:t>竞选函：按第五章格式填写，签字盖章齐全。</w:t>
      </w:r>
    </w:p>
    <w:p w14:paraId="14C373C4">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2.法定代表人身份证明：按第五章格式填写，附身份证复印件。</w:t>
      </w:r>
    </w:p>
    <w:p w14:paraId="12CD738C">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3.授权委托书：按第五章格式填写，附法定代表人和委托代理人身份证复印件。</w:t>
      </w:r>
    </w:p>
    <w:p w14:paraId="1804201D">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4.营业执照：复印件加盖公章。</w:t>
      </w:r>
    </w:p>
    <w:p w14:paraId="6AB15C9E">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5.资质证书：复印件加盖公章。</w:t>
      </w:r>
    </w:p>
    <w:p w14:paraId="1A98A3AB">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6.业绩证明材料：合同复印件加盖公章。</w:t>
      </w:r>
    </w:p>
    <w:p w14:paraId="170F391E">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7.财务状况承诺书：提供2023年1月1日起至竞选文件投递截止时间的财务状况良好承诺书（格式自拟）。</w:t>
      </w:r>
    </w:p>
    <w:p w14:paraId="624B95A8">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8.信誉承诺书：提供信誉良好承诺书（格式自拟），承诺无失信、无违法、无行贿等情形。</w:t>
      </w:r>
    </w:p>
    <w:p w14:paraId="7A9CE2E4">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9.分项报价明细表：按第五章格式填写。</w:t>
      </w:r>
    </w:p>
    <w:p w14:paraId="22DB2F2E">
      <w:pPr>
        <w:ind w:left="46" w:leftChars="22" w:right="105" w:firstLine="371" w:firstLineChars="177"/>
        <w:jc w:val="left"/>
        <w:rPr>
          <w:rFonts w:hint="eastAsia"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10.商务和技术偏差表（如有）。</w:t>
      </w:r>
    </w:p>
    <w:p w14:paraId="1A0940A0">
      <w:pPr>
        <w:ind w:left="46" w:leftChars="22" w:right="105" w:firstLine="371" w:firstLineChars="177"/>
        <w:jc w:val="left"/>
        <w:rPr>
          <w:rFonts w:hint="default" w:ascii="方正仿宋_GBK" w:hAnsi="方正仿宋_GBK" w:eastAsia="方正仿宋_GBK" w:cs="宋体"/>
          <w:highlight w:val="none"/>
          <w:lang w:val="en-US" w:eastAsia="zh-CN"/>
        </w:rPr>
      </w:pPr>
      <w:r>
        <w:rPr>
          <w:rFonts w:hint="eastAsia" w:ascii="方正仿宋_GBK" w:hAnsi="方正仿宋_GBK" w:eastAsia="方正仿宋_GBK" w:cs="宋体"/>
          <w:highlight w:val="none"/>
          <w:lang w:val="en-US" w:eastAsia="zh-CN"/>
        </w:rPr>
        <w:t>上述资料若在商务部分中已包含，应说明具体部分详见商务部分，避免重复提供资料。所有复印件及承诺文件须加盖清晰、完整、可识别的单位公章，印章模糊、无法识别或遮挡关键信息的，按无效响应处理，并由竞选人自行承担一切后果。</w:t>
      </w:r>
    </w:p>
    <w:p w14:paraId="6325E174">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65724BA0">
      <w:pPr>
        <w:numPr>
          <w:ilvl w:val="0"/>
          <w:numId w:val="0"/>
        </w:numPr>
        <w:spacing w:line="460" w:lineRule="exact"/>
        <w:ind w:firstLine="480" w:firstLineChars="200"/>
        <w:rPr>
          <w:rFonts w:hint="eastAsia" w:ascii="方正仿宋_GB2312" w:hAnsi="方正仿宋_GB2312" w:eastAsia="方正仿宋_GB2312" w:cs="方正仿宋_GB2312"/>
          <w:bCs/>
          <w:sz w:val="24"/>
        </w:rPr>
      </w:pPr>
    </w:p>
    <w:p w14:paraId="54C803AA">
      <w:pPr>
        <w:pStyle w:val="6"/>
        <w:rPr>
          <w:rFonts w:hint="eastAsia"/>
          <w:color w:val="auto"/>
          <w:lang w:val="en-US" w:eastAsia="zh-CN"/>
        </w:rPr>
      </w:pPr>
    </w:p>
    <w:p w14:paraId="00AB0779">
      <w:pPr>
        <w:rPr>
          <w:rFonts w:hint="eastAsia"/>
          <w:color w:val="auto"/>
          <w:lang w:val="en-US" w:eastAsia="zh-CN"/>
        </w:rPr>
      </w:pPr>
    </w:p>
    <w:p w14:paraId="4F2D9131">
      <w:pPr>
        <w:pStyle w:val="6"/>
        <w:rPr>
          <w:rFonts w:hint="eastAsia"/>
          <w:color w:val="auto"/>
          <w:lang w:val="en-US" w:eastAsia="zh-CN"/>
        </w:rPr>
      </w:pPr>
    </w:p>
    <w:p w14:paraId="5E84C6A2">
      <w:pPr>
        <w:rPr>
          <w:rFonts w:hint="eastAsia"/>
          <w:color w:val="auto"/>
          <w:lang w:val="en-US" w:eastAsia="zh-CN"/>
        </w:rPr>
      </w:pPr>
    </w:p>
    <w:p w14:paraId="41FA6157">
      <w:pPr>
        <w:pStyle w:val="6"/>
        <w:rPr>
          <w:rFonts w:hint="eastAsia"/>
          <w:color w:val="auto"/>
          <w:lang w:val="en-US" w:eastAsia="zh-CN"/>
        </w:rPr>
      </w:pPr>
    </w:p>
    <w:p w14:paraId="17D732E0">
      <w:pPr>
        <w:rPr>
          <w:rFonts w:hint="eastAsia"/>
          <w:color w:val="auto"/>
          <w:lang w:val="en-US" w:eastAsia="zh-CN"/>
        </w:rPr>
      </w:pPr>
    </w:p>
    <w:p w14:paraId="37DFCFB1">
      <w:pPr>
        <w:pStyle w:val="6"/>
        <w:rPr>
          <w:rFonts w:hint="eastAsia"/>
          <w:color w:val="auto"/>
          <w:lang w:val="en-US" w:eastAsia="zh-CN"/>
        </w:rPr>
      </w:pPr>
    </w:p>
    <w:p w14:paraId="52F0DAEE">
      <w:pPr>
        <w:rPr>
          <w:rFonts w:hint="eastAsia"/>
          <w:color w:val="auto"/>
          <w:lang w:val="en-US" w:eastAsia="zh-CN"/>
        </w:rPr>
      </w:pPr>
    </w:p>
    <w:p w14:paraId="3B8655C5">
      <w:pPr>
        <w:pStyle w:val="6"/>
        <w:rPr>
          <w:rFonts w:hint="eastAsia"/>
          <w:color w:val="auto"/>
          <w:lang w:val="en-US" w:eastAsia="zh-CN"/>
        </w:rPr>
      </w:pPr>
    </w:p>
    <w:p w14:paraId="101CFC4F">
      <w:pPr>
        <w:pStyle w:val="6"/>
        <w:rPr>
          <w:rFonts w:hint="eastAsia"/>
          <w:color w:val="auto"/>
          <w:lang w:val="en-US" w:eastAsia="zh-CN"/>
        </w:rPr>
      </w:pPr>
    </w:p>
    <w:p w14:paraId="331A6272">
      <w:pPr>
        <w:pStyle w:val="6"/>
        <w:rPr>
          <w:rFonts w:hint="eastAsia"/>
          <w:color w:val="auto"/>
          <w:lang w:val="en-US" w:eastAsia="zh-CN"/>
        </w:rPr>
      </w:pPr>
    </w:p>
    <w:sectPr>
      <w:headerReference r:id="rId5" w:type="default"/>
      <w:footerReference r:id="rId6" w:type="default"/>
      <w:pgSz w:w="11906" w:h="16838"/>
      <w:pgMar w:top="1440" w:right="1746" w:bottom="1440" w:left="1746"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8725CE9-CEBB-4058-ADB0-24B15620442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718A59BD-16EE-47C1-9669-9BD25AA363D1}"/>
  </w:font>
  <w:font w:name="方正小标宋_GBK">
    <w:panose1 w:val="03000509000000000000"/>
    <w:charset w:val="86"/>
    <w:family w:val="auto"/>
    <w:pitch w:val="default"/>
    <w:sig w:usb0="00000001" w:usb1="080E0000" w:usb2="00000000" w:usb3="00000000" w:csb0="00040000" w:csb1="00000000"/>
    <w:embedRegular r:id="rId3" w:fontKey="{B38798C4-1DAB-45FA-A9B4-00608E27B341}"/>
  </w:font>
  <w:font w:name="方正黑体_GBK">
    <w:panose1 w:val="03000509000000000000"/>
    <w:charset w:val="86"/>
    <w:family w:val="auto"/>
    <w:pitch w:val="default"/>
    <w:sig w:usb0="00000001" w:usb1="080E0000" w:usb2="00000000" w:usb3="00000000" w:csb0="00040000" w:csb1="00000000"/>
    <w:embedRegular r:id="rId4" w:fontKey="{768AFCA8-9822-42E6-BE41-7A3E726908FD}"/>
  </w:font>
  <w:font w:name="方正仿宋_GB18030">
    <w:panose1 w:val="02000000000000000000"/>
    <w:charset w:val="86"/>
    <w:family w:val="auto"/>
    <w:pitch w:val="default"/>
    <w:sig w:usb0="00000001" w:usb1="08000000" w:usb2="00000000" w:usb3="00000000" w:csb0="00040000" w:csb1="00000000"/>
    <w:embedRegular r:id="rId5" w:fontKey="{EBCF5811-B944-490A-9A4C-AC92FEDE910A}"/>
  </w:font>
  <w:font w:name="方正仿宋_GBK">
    <w:panose1 w:val="03000509000000000000"/>
    <w:charset w:val="86"/>
    <w:family w:val="auto"/>
    <w:pitch w:val="default"/>
    <w:sig w:usb0="00000001" w:usb1="080E0000" w:usb2="00000000" w:usb3="00000000" w:csb0="00040000" w:csb1="00000000"/>
    <w:embedRegular r:id="rId6" w:fontKey="{20170F60-C911-4D80-A96B-4BC61288EA9A}"/>
  </w:font>
  <w:font w:name="方正楷体_GBK">
    <w:panose1 w:val="03000509000000000000"/>
    <w:charset w:val="86"/>
    <w:family w:val="auto"/>
    <w:pitch w:val="default"/>
    <w:sig w:usb0="00000001" w:usb1="080E0000" w:usb2="00000000" w:usb3="00000000" w:csb0="00040000" w:csb1="00000000"/>
    <w:embedRegular r:id="rId7" w:fontKey="{8304F06E-8B18-4964-BF38-80F598D6EE96}"/>
  </w:font>
  <w:font w:name="仿宋">
    <w:panose1 w:val="02010609060101010101"/>
    <w:charset w:val="86"/>
    <w:family w:val="auto"/>
    <w:pitch w:val="default"/>
    <w:sig w:usb0="800002BF" w:usb1="38CF7CFA" w:usb2="00000016" w:usb3="00000000" w:csb0="00040001" w:csb1="00000000"/>
    <w:embedRegular r:id="rId8" w:fontKey="{1049ADDB-0A03-4C61-AEB5-404C5E7BF9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010F6">
    <w:pPr>
      <w:pStyle w:val="9"/>
      <w:ind w:firstLine="0" w:firstLineChars="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3409F">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23409F">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w:t>
                    </w:r>
                    <w:r>
                      <w:rPr>
                        <w:rFonts w:hint="eastAsia" w:eastAsia="宋体"/>
                        <w:lang w:eastAsia="zh-CN"/>
                      </w:rPr>
                      <w:fldChar w:fldCharType="end"/>
                    </w:r>
                  </w:p>
                </w:txbxContent>
              </v:textbox>
            </v:shape>
          </w:pict>
        </mc:Fallback>
      </mc:AlternateContent>
    </w:r>
    <w:r>
      <w:rPr>
        <w:lang w:val="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B8FDF">
    <w:pPr>
      <w:pStyle w:val="10"/>
      <w:pBdr>
        <w:bottom w:val="none" w:color="auto" w:sz="0" w:space="0"/>
      </w:pBdr>
      <w:ind w:firstLine="0" w:firstLineChars="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CA3988"/>
    <w:multiLevelType w:val="singleLevel"/>
    <w:tmpl w:val="91CA3988"/>
    <w:lvl w:ilvl="0" w:tentative="0">
      <w:start w:val="2"/>
      <w:numFmt w:val="chineseCounting"/>
      <w:suff w:val="nothing"/>
      <w:lvlText w:val="（%1）"/>
      <w:lvlJc w:val="left"/>
      <w:rPr>
        <w:rFonts w:hint="eastAsia"/>
      </w:rPr>
    </w:lvl>
  </w:abstractNum>
  <w:abstractNum w:abstractNumId="1">
    <w:nsid w:val="9A578A04"/>
    <w:multiLevelType w:val="singleLevel"/>
    <w:tmpl w:val="9A578A04"/>
    <w:lvl w:ilvl="0" w:tentative="0">
      <w:start w:val="1"/>
      <w:numFmt w:val="chineseCounting"/>
      <w:suff w:val="nothing"/>
      <w:lvlText w:val="%1、"/>
      <w:lvlJc w:val="left"/>
      <w:rPr>
        <w:rFonts w:hint="eastAsia"/>
      </w:rPr>
    </w:lvl>
  </w:abstractNum>
  <w:abstractNum w:abstractNumId="2">
    <w:nsid w:val="F823DC41"/>
    <w:multiLevelType w:val="singleLevel"/>
    <w:tmpl w:val="F823DC41"/>
    <w:lvl w:ilvl="0" w:tentative="0">
      <w:start w:val="1"/>
      <w:numFmt w:val="chineseCounting"/>
      <w:suff w:val="nothing"/>
      <w:lvlText w:val="%1、"/>
      <w:lvlJc w:val="left"/>
      <w:rPr>
        <w:rFonts w:hint="eastAsia"/>
      </w:rPr>
    </w:lvl>
  </w:abstractNum>
  <w:abstractNum w:abstractNumId="3">
    <w:nsid w:val="15255EB9"/>
    <w:multiLevelType w:val="singleLevel"/>
    <w:tmpl w:val="15255EB9"/>
    <w:lvl w:ilvl="0" w:tentative="0">
      <w:start w:val="1"/>
      <w:numFmt w:val="decimal"/>
      <w:lvlText w:val="%1."/>
      <w:lvlJc w:val="left"/>
      <w:pPr>
        <w:tabs>
          <w:tab w:val="left" w:pos="312"/>
        </w:tabs>
      </w:pPr>
    </w:lvl>
  </w:abstractNum>
  <w:abstractNum w:abstractNumId="4">
    <w:nsid w:val="4BFF557E"/>
    <w:multiLevelType w:val="singleLevel"/>
    <w:tmpl w:val="4BFF557E"/>
    <w:lvl w:ilvl="0" w:tentative="0">
      <w:start w:val="2"/>
      <w:numFmt w:val="chineseCounting"/>
      <w:suff w:val="nothing"/>
      <w:lvlText w:val="（%1）"/>
      <w:lvlJc w:val="left"/>
      <w:rPr>
        <w:rFonts w:hint="eastAsia"/>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660B6"/>
    <w:rsid w:val="00145F5C"/>
    <w:rsid w:val="00486878"/>
    <w:rsid w:val="006F0B91"/>
    <w:rsid w:val="00E85D89"/>
    <w:rsid w:val="012F4FBA"/>
    <w:rsid w:val="015F4DAB"/>
    <w:rsid w:val="018F408A"/>
    <w:rsid w:val="02287486"/>
    <w:rsid w:val="02566FA4"/>
    <w:rsid w:val="0283520B"/>
    <w:rsid w:val="02E121B3"/>
    <w:rsid w:val="02FE3758"/>
    <w:rsid w:val="03327BE2"/>
    <w:rsid w:val="03727414"/>
    <w:rsid w:val="03A604C6"/>
    <w:rsid w:val="03EE5607"/>
    <w:rsid w:val="042A1982"/>
    <w:rsid w:val="043D3538"/>
    <w:rsid w:val="04421433"/>
    <w:rsid w:val="04444DE9"/>
    <w:rsid w:val="04635D75"/>
    <w:rsid w:val="04C20051"/>
    <w:rsid w:val="04EB6A93"/>
    <w:rsid w:val="04FA60A0"/>
    <w:rsid w:val="04FC6AE0"/>
    <w:rsid w:val="050C639B"/>
    <w:rsid w:val="05355B4E"/>
    <w:rsid w:val="05364707"/>
    <w:rsid w:val="05687BD4"/>
    <w:rsid w:val="05A20F79"/>
    <w:rsid w:val="05C818B8"/>
    <w:rsid w:val="06160B1E"/>
    <w:rsid w:val="06434952"/>
    <w:rsid w:val="064D11D0"/>
    <w:rsid w:val="06674F75"/>
    <w:rsid w:val="06903CCC"/>
    <w:rsid w:val="06CC6E92"/>
    <w:rsid w:val="06E819A8"/>
    <w:rsid w:val="075B7BDA"/>
    <w:rsid w:val="07C25DCB"/>
    <w:rsid w:val="07EA500B"/>
    <w:rsid w:val="086F2D26"/>
    <w:rsid w:val="08E24BA7"/>
    <w:rsid w:val="08FE60B1"/>
    <w:rsid w:val="09BE2DAE"/>
    <w:rsid w:val="09D34230"/>
    <w:rsid w:val="0A6B62F0"/>
    <w:rsid w:val="0A7769E9"/>
    <w:rsid w:val="0ADB13B6"/>
    <w:rsid w:val="0B2D6ABF"/>
    <w:rsid w:val="0B422D73"/>
    <w:rsid w:val="0B52713F"/>
    <w:rsid w:val="0B8D0492"/>
    <w:rsid w:val="0BA36C32"/>
    <w:rsid w:val="0BD82880"/>
    <w:rsid w:val="0BF5465F"/>
    <w:rsid w:val="0C0836D9"/>
    <w:rsid w:val="0C2E2BCB"/>
    <w:rsid w:val="0C5F63BF"/>
    <w:rsid w:val="0C6D1742"/>
    <w:rsid w:val="0CB351CD"/>
    <w:rsid w:val="0D30275D"/>
    <w:rsid w:val="0D541030"/>
    <w:rsid w:val="0D652F7F"/>
    <w:rsid w:val="0DD71E98"/>
    <w:rsid w:val="0DF35855"/>
    <w:rsid w:val="0DFE793B"/>
    <w:rsid w:val="0E181F8C"/>
    <w:rsid w:val="0E460DCC"/>
    <w:rsid w:val="0E494A2D"/>
    <w:rsid w:val="0E816797"/>
    <w:rsid w:val="0E824B4F"/>
    <w:rsid w:val="0EE829F7"/>
    <w:rsid w:val="0F343220"/>
    <w:rsid w:val="0F955859"/>
    <w:rsid w:val="0FD171A3"/>
    <w:rsid w:val="107D3B46"/>
    <w:rsid w:val="10B06C1A"/>
    <w:rsid w:val="10BA0B8E"/>
    <w:rsid w:val="10CC6629"/>
    <w:rsid w:val="10CD5557"/>
    <w:rsid w:val="10D920F8"/>
    <w:rsid w:val="10FB105D"/>
    <w:rsid w:val="116A47D1"/>
    <w:rsid w:val="118F44E5"/>
    <w:rsid w:val="11C66C7E"/>
    <w:rsid w:val="11D47339"/>
    <w:rsid w:val="12074A4D"/>
    <w:rsid w:val="122F6C43"/>
    <w:rsid w:val="127C6B6A"/>
    <w:rsid w:val="12B409FA"/>
    <w:rsid w:val="12BA2B41"/>
    <w:rsid w:val="12DB709D"/>
    <w:rsid w:val="131200EF"/>
    <w:rsid w:val="133F3A40"/>
    <w:rsid w:val="134909C8"/>
    <w:rsid w:val="13644227"/>
    <w:rsid w:val="13BE611D"/>
    <w:rsid w:val="13D61F2A"/>
    <w:rsid w:val="1435387B"/>
    <w:rsid w:val="143C677F"/>
    <w:rsid w:val="14711346"/>
    <w:rsid w:val="14C633DB"/>
    <w:rsid w:val="14D233B9"/>
    <w:rsid w:val="15195392"/>
    <w:rsid w:val="158B5108"/>
    <w:rsid w:val="158E59FE"/>
    <w:rsid w:val="158F3258"/>
    <w:rsid w:val="159771E1"/>
    <w:rsid w:val="15C2314D"/>
    <w:rsid w:val="15E02379"/>
    <w:rsid w:val="16235803"/>
    <w:rsid w:val="163C097A"/>
    <w:rsid w:val="16673E9F"/>
    <w:rsid w:val="16774218"/>
    <w:rsid w:val="16A17ABC"/>
    <w:rsid w:val="16CF2191"/>
    <w:rsid w:val="16ED1BE3"/>
    <w:rsid w:val="16F2179B"/>
    <w:rsid w:val="170819A3"/>
    <w:rsid w:val="17231B69"/>
    <w:rsid w:val="1747089A"/>
    <w:rsid w:val="1748046E"/>
    <w:rsid w:val="17493A2A"/>
    <w:rsid w:val="179B41DB"/>
    <w:rsid w:val="17B05E8A"/>
    <w:rsid w:val="180245E6"/>
    <w:rsid w:val="180E4708"/>
    <w:rsid w:val="184839F8"/>
    <w:rsid w:val="184E0FA9"/>
    <w:rsid w:val="18805810"/>
    <w:rsid w:val="18904887"/>
    <w:rsid w:val="18D53478"/>
    <w:rsid w:val="195D3CC8"/>
    <w:rsid w:val="19CB53B9"/>
    <w:rsid w:val="1A077358"/>
    <w:rsid w:val="1A197394"/>
    <w:rsid w:val="1A376E38"/>
    <w:rsid w:val="1A8C7D14"/>
    <w:rsid w:val="1A9D31D2"/>
    <w:rsid w:val="1ACD4D47"/>
    <w:rsid w:val="1BA440AA"/>
    <w:rsid w:val="1BA55A43"/>
    <w:rsid w:val="1BBE0BEC"/>
    <w:rsid w:val="1BE26B33"/>
    <w:rsid w:val="1C2E2660"/>
    <w:rsid w:val="1C825078"/>
    <w:rsid w:val="1CC15720"/>
    <w:rsid w:val="1CDD249C"/>
    <w:rsid w:val="1D0672B0"/>
    <w:rsid w:val="1D076619"/>
    <w:rsid w:val="1D2E0713"/>
    <w:rsid w:val="1D2F75FB"/>
    <w:rsid w:val="1D813BCE"/>
    <w:rsid w:val="1D9B01C4"/>
    <w:rsid w:val="1DB7554C"/>
    <w:rsid w:val="1DC97459"/>
    <w:rsid w:val="1DF512A5"/>
    <w:rsid w:val="1E1E11FC"/>
    <w:rsid w:val="1E2E210B"/>
    <w:rsid w:val="1E2F33CF"/>
    <w:rsid w:val="1E4578B9"/>
    <w:rsid w:val="1EBA479D"/>
    <w:rsid w:val="1ED34FE5"/>
    <w:rsid w:val="1ED96F03"/>
    <w:rsid w:val="1EFC4C25"/>
    <w:rsid w:val="1F3D722B"/>
    <w:rsid w:val="1FB96708"/>
    <w:rsid w:val="1FD06747"/>
    <w:rsid w:val="20087C8F"/>
    <w:rsid w:val="20191A77"/>
    <w:rsid w:val="205D5CBE"/>
    <w:rsid w:val="20A13370"/>
    <w:rsid w:val="20ED6C54"/>
    <w:rsid w:val="21061A7D"/>
    <w:rsid w:val="210827FC"/>
    <w:rsid w:val="21AB108C"/>
    <w:rsid w:val="21E43924"/>
    <w:rsid w:val="22284C58"/>
    <w:rsid w:val="22886F09"/>
    <w:rsid w:val="23037CD2"/>
    <w:rsid w:val="236A1700"/>
    <w:rsid w:val="23957A79"/>
    <w:rsid w:val="23D261CE"/>
    <w:rsid w:val="23FB62B8"/>
    <w:rsid w:val="242B52DB"/>
    <w:rsid w:val="24B403E6"/>
    <w:rsid w:val="24D26ABE"/>
    <w:rsid w:val="25113A8A"/>
    <w:rsid w:val="25912940"/>
    <w:rsid w:val="25A20D5D"/>
    <w:rsid w:val="25FA6A8B"/>
    <w:rsid w:val="26617DCE"/>
    <w:rsid w:val="266D77DA"/>
    <w:rsid w:val="26A35467"/>
    <w:rsid w:val="26B020ED"/>
    <w:rsid w:val="26BE09E6"/>
    <w:rsid w:val="271C029E"/>
    <w:rsid w:val="271F0A4D"/>
    <w:rsid w:val="2794558B"/>
    <w:rsid w:val="27992E0C"/>
    <w:rsid w:val="280042D2"/>
    <w:rsid w:val="28540702"/>
    <w:rsid w:val="28753608"/>
    <w:rsid w:val="289B71F2"/>
    <w:rsid w:val="28B2484F"/>
    <w:rsid w:val="28BA679E"/>
    <w:rsid w:val="28DA31F3"/>
    <w:rsid w:val="28FD67FF"/>
    <w:rsid w:val="29A44037"/>
    <w:rsid w:val="29A62DE6"/>
    <w:rsid w:val="29E81D1B"/>
    <w:rsid w:val="29EA143F"/>
    <w:rsid w:val="2A1C0B5F"/>
    <w:rsid w:val="2A511217"/>
    <w:rsid w:val="2A67611A"/>
    <w:rsid w:val="2ACA2E70"/>
    <w:rsid w:val="2ADC2DE8"/>
    <w:rsid w:val="2BF8374A"/>
    <w:rsid w:val="2C126E5E"/>
    <w:rsid w:val="2C9F4856"/>
    <w:rsid w:val="2D1B3200"/>
    <w:rsid w:val="2D5C5ABE"/>
    <w:rsid w:val="2D746964"/>
    <w:rsid w:val="2D9C07B7"/>
    <w:rsid w:val="2DC82842"/>
    <w:rsid w:val="2DD977C1"/>
    <w:rsid w:val="2E0E6A8A"/>
    <w:rsid w:val="2E2F0632"/>
    <w:rsid w:val="2E3F26C6"/>
    <w:rsid w:val="2EA2688E"/>
    <w:rsid w:val="2EA31082"/>
    <w:rsid w:val="2EAA4699"/>
    <w:rsid w:val="2EBC272F"/>
    <w:rsid w:val="2EE50C3B"/>
    <w:rsid w:val="2EF574A4"/>
    <w:rsid w:val="2F897F35"/>
    <w:rsid w:val="2FA432C6"/>
    <w:rsid w:val="2FA67C14"/>
    <w:rsid w:val="2FE36D68"/>
    <w:rsid w:val="2FEF6589"/>
    <w:rsid w:val="30130FE2"/>
    <w:rsid w:val="3037436F"/>
    <w:rsid w:val="31A67308"/>
    <w:rsid w:val="31D63CDE"/>
    <w:rsid w:val="31D65E3F"/>
    <w:rsid w:val="31FB7654"/>
    <w:rsid w:val="324F4F00"/>
    <w:rsid w:val="32B819E9"/>
    <w:rsid w:val="33386686"/>
    <w:rsid w:val="341A64B0"/>
    <w:rsid w:val="3430573E"/>
    <w:rsid w:val="343B024C"/>
    <w:rsid w:val="3444697A"/>
    <w:rsid w:val="344A5917"/>
    <w:rsid w:val="34B72631"/>
    <w:rsid w:val="35327BBE"/>
    <w:rsid w:val="353B4A95"/>
    <w:rsid w:val="35414B78"/>
    <w:rsid w:val="359E17A7"/>
    <w:rsid w:val="36070589"/>
    <w:rsid w:val="360E1CF4"/>
    <w:rsid w:val="369462C9"/>
    <w:rsid w:val="36A60BCB"/>
    <w:rsid w:val="36AF2B85"/>
    <w:rsid w:val="36BA6445"/>
    <w:rsid w:val="37A1516A"/>
    <w:rsid w:val="37B660B6"/>
    <w:rsid w:val="37E76EBA"/>
    <w:rsid w:val="37E968C2"/>
    <w:rsid w:val="383A174A"/>
    <w:rsid w:val="388A771C"/>
    <w:rsid w:val="38B727A6"/>
    <w:rsid w:val="38CF5396"/>
    <w:rsid w:val="398268AC"/>
    <w:rsid w:val="398B7479"/>
    <w:rsid w:val="39D325ED"/>
    <w:rsid w:val="3A605843"/>
    <w:rsid w:val="3A8F5F3B"/>
    <w:rsid w:val="3ACB1948"/>
    <w:rsid w:val="3AD76784"/>
    <w:rsid w:val="3ADC45D5"/>
    <w:rsid w:val="3ADE09A9"/>
    <w:rsid w:val="3AFC328C"/>
    <w:rsid w:val="3B167E7E"/>
    <w:rsid w:val="3B2E0A9A"/>
    <w:rsid w:val="3B621E33"/>
    <w:rsid w:val="3B7150FD"/>
    <w:rsid w:val="3BCB6FEA"/>
    <w:rsid w:val="3BE9103C"/>
    <w:rsid w:val="3BF26170"/>
    <w:rsid w:val="3BF652BC"/>
    <w:rsid w:val="3BFE2889"/>
    <w:rsid w:val="3C885F88"/>
    <w:rsid w:val="3CA806D5"/>
    <w:rsid w:val="3CE010B8"/>
    <w:rsid w:val="3CE44C75"/>
    <w:rsid w:val="3D8F783C"/>
    <w:rsid w:val="3DD516A1"/>
    <w:rsid w:val="3DE11DF4"/>
    <w:rsid w:val="3DE327AB"/>
    <w:rsid w:val="3EC3599D"/>
    <w:rsid w:val="3EC456A1"/>
    <w:rsid w:val="3EC535CF"/>
    <w:rsid w:val="3EDE4003"/>
    <w:rsid w:val="3FAF1A7E"/>
    <w:rsid w:val="3FB57663"/>
    <w:rsid w:val="3FE41195"/>
    <w:rsid w:val="3FED0FAD"/>
    <w:rsid w:val="40053674"/>
    <w:rsid w:val="40514DB4"/>
    <w:rsid w:val="408F5EAA"/>
    <w:rsid w:val="41FC3205"/>
    <w:rsid w:val="42293AD3"/>
    <w:rsid w:val="43027690"/>
    <w:rsid w:val="43054D99"/>
    <w:rsid w:val="433107D0"/>
    <w:rsid w:val="43AD3849"/>
    <w:rsid w:val="43FA221B"/>
    <w:rsid w:val="44003C64"/>
    <w:rsid w:val="44360C08"/>
    <w:rsid w:val="44BC6FE9"/>
    <w:rsid w:val="450611F7"/>
    <w:rsid w:val="451B0F59"/>
    <w:rsid w:val="456631C1"/>
    <w:rsid w:val="457744AC"/>
    <w:rsid w:val="45BD253B"/>
    <w:rsid w:val="45D17682"/>
    <w:rsid w:val="45D4223E"/>
    <w:rsid w:val="45D9105A"/>
    <w:rsid w:val="45E2586B"/>
    <w:rsid w:val="461D6557"/>
    <w:rsid w:val="46311E6F"/>
    <w:rsid w:val="465F30FE"/>
    <w:rsid w:val="46B1257F"/>
    <w:rsid w:val="478F287A"/>
    <w:rsid w:val="47A36041"/>
    <w:rsid w:val="48494CFC"/>
    <w:rsid w:val="487939F1"/>
    <w:rsid w:val="48F77DC1"/>
    <w:rsid w:val="496C1A6F"/>
    <w:rsid w:val="49BE646A"/>
    <w:rsid w:val="49EB5DA8"/>
    <w:rsid w:val="49F566D5"/>
    <w:rsid w:val="49F75EF8"/>
    <w:rsid w:val="49FE5ADB"/>
    <w:rsid w:val="4A1A5171"/>
    <w:rsid w:val="4A4B67FD"/>
    <w:rsid w:val="4A5F13D5"/>
    <w:rsid w:val="4AE90539"/>
    <w:rsid w:val="4C0F4139"/>
    <w:rsid w:val="4C1E2465"/>
    <w:rsid w:val="4C384F52"/>
    <w:rsid w:val="4C4172EC"/>
    <w:rsid w:val="4C437C13"/>
    <w:rsid w:val="4C6578C0"/>
    <w:rsid w:val="4C8A1956"/>
    <w:rsid w:val="4DEB5568"/>
    <w:rsid w:val="4E2B0E69"/>
    <w:rsid w:val="4E393F67"/>
    <w:rsid w:val="4E3E6B16"/>
    <w:rsid w:val="4E6E6A73"/>
    <w:rsid w:val="4E90667E"/>
    <w:rsid w:val="4EB41693"/>
    <w:rsid w:val="4F0A5E79"/>
    <w:rsid w:val="4F1625D5"/>
    <w:rsid w:val="4F1B1729"/>
    <w:rsid w:val="4F361873"/>
    <w:rsid w:val="4F37467E"/>
    <w:rsid w:val="4F3F77C5"/>
    <w:rsid w:val="4F85385C"/>
    <w:rsid w:val="4FCF6593"/>
    <w:rsid w:val="4FDC066D"/>
    <w:rsid w:val="5020656B"/>
    <w:rsid w:val="505C278E"/>
    <w:rsid w:val="50D84F18"/>
    <w:rsid w:val="50DB1954"/>
    <w:rsid w:val="50EF617E"/>
    <w:rsid w:val="50FD4E06"/>
    <w:rsid w:val="51092211"/>
    <w:rsid w:val="511A1CEF"/>
    <w:rsid w:val="51853A25"/>
    <w:rsid w:val="52556250"/>
    <w:rsid w:val="53057EDB"/>
    <w:rsid w:val="5339399C"/>
    <w:rsid w:val="533B070E"/>
    <w:rsid w:val="533C14E1"/>
    <w:rsid w:val="535F511F"/>
    <w:rsid w:val="537A201C"/>
    <w:rsid w:val="53DE5CB0"/>
    <w:rsid w:val="54646D5D"/>
    <w:rsid w:val="54AC278A"/>
    <w:rsid w:val="54BB38F7"/>
    <w:rsid w:val="54BC783C"/>
    <w:rsid w:val="55115426"/>
    <w:rsid w:val="552D4CAD"/>
    <w:rsid w:val="558C48E3"/>
    <w:rsid w:val="55952459"/>
    <w:rsid w:val="55AA721C"/>
    <w:rsid w:val="55B43F78"/>
    <w:rsid w:val="55B87800"/>
    <w:rsid w:val="55BA059E"/>
    <w:rsid w:val="55C40E60"/>
    <w:rsid w:val="56034E45"/>
    <w:rsid w:val="56303D55"/>
    <w:rsid w:val="56427ABB"/>
    <w:rsid w:val="56637078"/>
    <w:rsid w:val="56B71FFC"/>
    <w:rsid w:val="56C003A2"/>
    <w:rsid w:val="56C94CD6"/>
    <w:rsid w:val="56EA7B13"/>
    <w:rsid w:val="572D0437"/>
    <w:rsid w:val="5778226E"/>
    <w:rsid w:val="578549C5"/>
    <w:rsid w:val="57D8796C"/>
    <w:rsid w:val="57E74BE1"/>
    <w:rsid w:val="580437EC"/>
    <w:rsid w:val="5852255F"/>
    <w:rsid w:val="591A24CC"/>
    <w:rsid w:val="59B67905"/>
    <w:rsid w:val="5A4511BC"/>
    <w:rsid w:val="5AB0028C"/>
    <w:rsid w:val="5AE27592"/>
    <w:rsid w:val="5B4B50B5"/>
    <w:rsid w:val="5B5F20E3"/>
    <w:rsid w:val="5B756C25"/>
    <w:rsid w:val="5B7C0F56"/>
    <w:rsid w:val="5B89775C"/>
    <w:rsid w:val="5B9E1D12"/>
    <w:rsid w:val="5BC174A5"/>
    <w:rsid w:val="5BFF4434"/>
    <w:rsid w:val="5C361EDB"/>
    <w:rsid w:val="5C59094A"/>
    <w:rsid w:val="5C627D9A"/>
    <w:rsid w:val="5CB45ED4"/>
    <w:rsid w:val="5CB87404"/>
    <w:rsid w:val="5D521F6E"/>
    <w:rsid w:val="5D7C7C06"/>
    <w:rsid w:val="5DA728C0"/>
    <w:rsid w:val="5E272663"/>
    <w:rsid w:val="5E3326D9"/>
    <w:rsid w:val="5E5225FF"/>
    <w:rsid w:val="5E7207CC"/>
    <w:rsid w:val="5E8C0390"/>
    <w:rsid w:val="5E9E22D7"/>
    <w:rsid w:val="5F067A9B"/>
    <w:rsid w:val="5F5A287C"/>
    <w:rsid w:val="5F814D8D"/>
    <w:rsid w:val="5F886547"/>
    <w:rsid w:val="5FE72775"/>
    <w:rsid w:val="6045006A"/>
    <w:rsid w:val="60B3398C"/>
    <w:rsid w:val="60CD52D1"/>
    <w:rsid w:val="60E51BB8"/>
    <w:rsid w:val="60EF35E0"/>
    <w:rsid w:val="612A637F"/>
    <w:rsid w:val="61446072"/>
    <w:rsid w:val="624532D2"/>
    <w:rsid w:val="6293033F"/>
    <w:rsid w:val="629457C3"/>
    <w:rsid w:val="62A92BD2"/>
    <w:rsid w:val="62F66015"/>
    <w:rsid w:val="63123005"/>
    <w:rsid w:val="634D7265"/>
    <w:rsid w:val="63794D66"/>
    <w:rsid w:val="63CE2A65"/>
    <w:rsid w:val="63FB424E"/>
    <w:rsid w:val="643C2001"/>
    <w:rsid w:val="646D1C5C"/>
    <w:rsid w:val="64A76E0D"/>
    <w:rsid w:val="65C36F0C"/>
    <w:rsid w:val="65EB11B2"/>
    <w:rsid w:val="66325895"/>
    <w:rsid w:val="66F9345B"/>
    <w:rsid w:val="6725501E"/>
    <w:rsid w:val="677660B6"/>
    <w:rsid w:val="67BC5DF7"/>
    <w:rsid w:val="67C77E8B"/>
    <w:rsid w:val="67E10ABE"/>
    <w:rsid w:val="67FD2842"/>
    <w:rsid w:val="681D7C60"/>
    <w:rsid w:val="68431BC3"/>
    <w:rsid w:val="6873306E"/>
    <w:rsid w:val="68840CAB"/>
    <w:rsid w:val="68E35427"/>
    <w:rsid w:val="690643FC"/>
    <w:rsid w:val="69802EAF"/>
    <w:rsid w:val="69A81CBA"/>
    <w:rsid w:val="69AB5DA7"/>
    <w:rsid w:val="69AF24F6"/>
    <w:rsid w:val="69D87D83"/>
    <w:rsid w:val="69DB040C"/>
    <w:rsid w:val="69DC654B"/>
    <w:rsid w:val="69F83E9D"/>
    <w:rsid w:val="6A5879A1"/>
    <w:rsid w:val="6A602708"/>
    <w:rsid w:val="6A705D34"/>
    <w:rsid w:val="6A857EC9"/>
    <w:rsid w:val="6A987ACE"/>
    <w:rsid w:val="6ACA1EB0"/>
    <w:rsid w:val="6ACE0506"/>
    <w:rsid w:val="6AD60163"/>
    <w:rsid w:val="6AFC16DA"/>
    <w:rsid w:val="6B191BA6"/>
    <w:rsid w:val="6B414C97"/>
    <w:rsid w:val="6B467C23"/>
    <w:rsid w:val="6B554B77"/>
    <w:rsid w:val="6B6F3FE3"/>
    <w:rsid w:val="6BD33ABF"/>
    <w:rsid w:val="6C41581C"/>
    <w:rsid w:val="6C727F37"/>
    <w:rsid w:val="6CA65AC3"/>
    <w:rsid w:val="6CC95344"/>
    <w:rsid w:val="6CE55FD3"/>
    <w:rsid w:val="6CFA463E"/>
    <w:rsid w:val="6D2E3262"/>
    <w:rsid w:val="6D461D6F"/>
    <w:rsid w:val="6D8B6113"/>
    <w:rsid w:val="6DEB69C9"/>
    <w:rsid w:val="6DEC3D19"/>
    <w:rsid w:val="6E264F3A"/>
    <w:rsid w:val="6E2B7009"/>
    <w:rsid w:val="6E2D211F"/>
    <w:rsid w:val="6E662965"/>
    <w:rsid w:val="6E6B62FC"/>
    <w:rsid w:val="6EBD4BE6"/>
    <w:rsid w:val="6EDF387E"/>
    <w:rsid w:val="6EE86AD5"/>
    <w:rsid w:val="6F377832"/>
    <w:rsid w:val="6F67541A"/>
    <w:rsid w:val="704F058F"/>
    <w:rsid w:val="70894C6D"/>
    <w:rsid w:val="70A961FA"/>
    <w:rsid w:val="715333DF"/>
    <w:rsid w:val="718E3A3A"/>
    <w:rsid w:val="71CD08C0"/>
    <w:rsid w:val="71F325BC"/>
    <w:rsid w:val="71FD0009"/>
    <w:rsid w:val="71FF5F22"/>
    <w:rsid w:val="72637960"/>
    <w:rsid w:val="72695111"/>
    <w:rsid w:val="72D4094B"/>
    <w:rsid w:val="72DE17B4"/>
    <w:rsid w:val="72FA7A9E"/>
    <w:rsid w:val="7304755E"/>
    <w:rsid w:val="734567C2"/>
    <w:rsid w:val="73531097"/>
    <w:rsid w:val="735F2A38"/>
    <w:rsid w:val="736A2DEE"/>
    <w:rsid w:val="73740023"/>
    <w:rsid w:val="73746465"/>
    <w:rsid w:val="73816E7D"/>
    <w:rsid w:val="73AF68AA"/>
    <w:rsid w:val="73BF4D75"/>
    <w:rsid w:val="74827185"/>
    <w:rsid w:val="74A44BEF"/>
    <w:rsid w:val="74F252A0"/>
    <w:rsid w:val="75270C4F"/>
    <w:rsid w:val="75C62ACF"/>
    <w:rsid w:val="76266A84"/>
    <w:rsid w:val="76E637DA"/>
    <w:rsid w:val="77170059"/>
    <w:rsid w:val="77884DE7"/>
    <w:rsid w:val="77E24131"/>
    <w:rsid w:val="77FB3881"/>
    <w:rsid w:val="77FF0F2F"/>
    <w:rsid w:val="781B0169"/>
    <w:rsid w:val="788C0F3B"/>
    <w:rsid w:val="79003577"/>
    <w:rsid w:val="79163C15"/>
    <w:rsid w:val="792453C0"/>
    <w:rsid w:val="792B4304"/>
    <w:rsid w:val="79D63C6A"/>
    <w:rsid w:val="7A574C10"/>
    <w:rsid w:val="7A5E6E18"/>
    <w:rsid w:val="7A9E283F"/>
    <w:rsid w:val="7AA34A94"/>
    <w:rsid w:val="7AED4D37"/>
    <w:rsid w:val="7B1C2F26"/>
    <w:rsid w:val="7B396A69"/>
    <w:rsid w:val="7B485344"/>
    <w:rsid w:val="7B4D5801"/>
    <w:rsid w:val="7B542EFE"/>
    <w:rsid w:val="7BC778CB"/>
    <w:rsid w:val="7BD3106F"/>
    <w:rsid w:val="7BED4023"/>
    <w:rsid w:val="7C0802F8"/>
    <w:rsid w:val="7CB41EA6"/>
    <w:rsid w:val="7CF972F5"/>
    <w:rsid w:val="7D3B25C7"/>
    <w:rsid w:val="7D7A42F0"/>
    <w:rsid w:val="7DD35601"/>
    <w:rsid w:val="7DE9560F"/>
    <w:rsid w:val="7DFE3726"/>
    <w:rsid w:val="7E2748F9"/>
    <w:rsid w:val="7E357016"/>
    <w:rsid w:val="7E610049"/>
    <w:rsid w:val="7E9052F2"/>
    <w:rsid w:val="7E9B256E"/>
    <w:rsid w:val="7EB05CC5"/>
    <w:rsid w:val="7EC37060"/>
    <w:rsid w:val="7ECD4F81"/>
    <w:rsid w:val="7F1E650A"/>
    <w:rsid w:val="7F3C2DA8"/>
    <w:rsid w:val="7F601FB0"/>
    <w:rsid w:val="7F8F0DA9"/>
    <w:rsid w:val="7F941373"/>
    <w:rsid w:val="7FAD5A8E"/>
    <w:rsid w:val="7FEA4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9"/>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qFormat/>
    <w:uiPriority w:val="9"/>
    <w:pPr>
      <w:keepNext/>
      <w:keepLines/>
      <w:spacing w:before="260" w:after="260" w:line="412" w:lineRule="auto"/>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pacing w:line="480" w:lineRule="atLeast"/>
      <w:ind w:firstLine="600"/>
      <w:textAlignment w:val="baseline"/>
    </w:pPr>
    <w:rPr>
      <w:rFonts w:eastAsia="方正仿宋_GB2312"/>
      <w:kern w:val="0"/>
      <w:sz w:val="30"/>
      <w:szCs w:val="20"/>
    </w:rPr>
  </w:style>
  <w:style w:type="paragraph" w:styleId="6">
    <w:name w:val="Body Text"/>
    <w:basedOn w:val="1"/>
    <w:unhideWhenUsed/>
    <w:qFormat/>
    <w:uiPriority w:val="99"/>
    <w:pPr>
      <w:spacing w:after="120"/>
    </w:pPr>
    <w:rPr>
      <w:rFonts w:ascii="Times New Roman" w:hAnsi="Times New Roman"/>
      <w:szCs w:val="20"/>
    </w:rPr>
  </w:style>
  <w:style w:type="paragraph" w:styleId="7">
    <w:name w:val="Block Text"/>
    <w:basedOn w:val="1"/>
    <w:qFormat/>
    <w:uiPriority w:val="0"/>
    <w:pPr>
      <w:autoSpaceDE w:val="0"/>
      <w:autoSpaceDN w:val="0"/>
      <w:adjustRightInd w:val="0"/>
      <w:spacing w:line="1270" w:lineRule="exact"/>
      <w:ind w:left="2160" w:right="-20" w:hanging="2160" w:hangingChars="300"/>
      <w:jc w:val="left"/>
    </w:pPr>
    <w:rPr>
      <w:rFonts w:ascii="Times New Roman" w:hAnsi="Times New Roman" w:eastAsia="方正仿宋_GB2312"/>
      <w:sz w:val="72"/>
      <w:szCs w:val="24"/>
    </w:rPr>
  </w:style>
  <w:style w:type="paragraph" w:styleId="8">
    <w:name w:val="toc 3"/>
    <w:basedOn w:val="1"/>
    <w:next w:val="1"/>
    <w:qFormat/>
    <w:uiPriority w:val="0"/>
    <w:pPr>
      <w:ind w:left="840" w:leftChars="400"/>
    </w:p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Subtitle"/>
    <w:basedOn w:val="1"/>
    <w:qFormat/>
    <w:uiPriority w:val="0"/>
    <w:pPr>
      <w:widowControl/>
      <w:jc w:val="center"/>
    </w:pPr>
    <w:rPr>
      <w:kern w:val="0"/>
      <w:sz w:val="20"/>
      <w:szCs w:val="24"/>
      <w:u w:val="single"/>
      <w:lang w:eastAsia="en-US"/>
    </w:rPr>
  </w:style>
  <w:style w:type="paragraph" w:styleId="13">
    <w:name w:val="toc 2"/>
    <w:basedOn w:val="1"/>
    <w:next w:val="1"/>
    <w:qFormat/>
    <w:uiPriority w:val="0"/>
    <w:pPr>
      <w:ind w:left="420" w:leftChars="200"/>
    </w:pPr>
  </w:style>
  <w:style w:type="paragraph" w:styleId="14">
    <w:name w:val="Title"/>
    <w:basedOn w:val="1"/>
    <w:next w:val="1"/>
    <w:qFormat/>
    <w:uiPriority w:val="0"/>
    <w:pPr>
      <w:ind w:firstLine="0" w:firstLineChars="0"/>
      <w:jc w:val="center"/>
      <w:outlineLvl w:val="0"/>
    </w:pPr>
    <w:rPr>
      <w:rFonts w:eastAsia="方正小标宋_GBK" w:cs="方正小标宋_GBK"/>
      <w:sz w:val="44"/>
      <w:szCs w:val="4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annotation reference"/>
    <w:qFormat/>
    <w:uiPriority w:val="0"/>
    <w:rPr>
      <w:sz w:val="21"/>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合同-正文"/>
    <w:basedOn w:val="1"/>
    <w:qFormat/>
    <w:uiPriority w:val="0"/>
    <w:pPr>
      <w:spacing w:before="240" w:beforeLines="0" w:after="60" w:afterLines="0" w:line="240" w:lineRule="auto"/>
      <w:ind w:firstLine="723" w:firstLineChars="200"/>
      <w:jc w:val="left"/>
      <w:outlineLvl w:val="0"/>
    </w:pPr>
    <w:rPr>
      <w:rFonts w:eastAsia="宋体" w:asciiTheme="minorAscii" w:hAnsiTheme="minorAscii"/>
      <w:sz w:val="24"/>
    </w:rPr>
  </w:style>
  <w:style w:type="character" w:customStyle="1" w:styleId="22">
    <w:name w:val="NormalCharacter"/>
    <w:semiHidden/>
    <w:qFormat/>
    <w:uiPriority w:val="0"/>
  </w:style>
  <w:style w:type="paragraph" w:customStyle="1" w:styleId="23">
    <w:name w:val="列表段落1"/>
    <w:basedOn w:val="1"/>
    <w:autoRedefine/>
    <w:qFormat/>
    <w:uiPriority w:val="34"/>
    <w:pPr>
      <w:widowControl w:val="0"/>
      <w:kinsoku/>
      <w:autoSpaceDE/>
      <w:autoSpaceDN/>
      <w:adjustRightInd/>
      <w:snapToGrid/>
      <w:ind w:firstLine="420" w:firstLineChars="200"/>
      <w:jc w:val="both"/>
      <w:textAlignment w:val="auto"/>
    </w:pPr>
    <w:rPr>
      <w:rFonts w:asciiTheme="minorHAnsi" w:hAnsiTheme="minorHAnsi" w:eastAsiaTheme="minorEastAsia" w:cstheme="minorBidi"/>
      <w:snapToGrid/>
      <w:color w:val="auto"/>
      <w:kern w:val="2"/>
      <w:szCs w:val="22"/>
    </w:rPr>
  </w:style>
  <w:style w:type="paragraph" w:customStyle="1" w:styleId="24">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8725</Words>
  <Characters>10150</Characters>
  <Lines>0</Lines>
  <Paragraphs>0</Paragraphs>
  <TotalTime>3</TotalTime>
  <ScaleCrop>false</ScaleCrop>
  <LinksUpToDate>false</LinksUpToDate>
  <CharactersWithSpaces>10729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2021-12-02T05:41:00Z</dcterms:created>
  <dc:creator>宋菁菁</dc:creator>
  <cp:lastModifiedBy>徐科</cp:lastModifiedBy>
  <cp:lastPrinted>2025-12-22T06:21:00Z</cp:lastPrinted>
  <dcterms:modified xsi:type="dcterms:W3CDTF">2026-07-28T03:07:37Z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eyJoZGlkIjoiZjdjNWFiMGZkMzNmNjU4N2E4OGU4NmE3YmM1Mzc3MzIiLCJ1c2VySWQiOiIxNjQ3MjIwODEyIn0=</vt:lpwstr>
  </property>
  <property fmtid="{D5CDD505-2E9C-101B-9397-08002B2CF9AE}" pid="4" name="ICV">
    <vt:lpwstr>7422AB62BE50409DA279162C46851CB5_12</vt:lpwstr>
  </property>
</Properties>
</file>